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footer17.xml" ContentType="application/vnd.openxmlformats-officedocument.wordprocessingml.footer+xml"/>
  <Override PartName="/word/footer16.xml" ContentType="application/vnd.openxmlformats-officedocument.wordprocessingml.footer+xml"/>
  <Override PartName="/word/footer15.xml" ContentType="application/vnd.openxmlformats-officedocument.wordprocessingml.footer+xml"/>
  <Override PartName="/word/footer14.xml" ContentType="application/vnd.openxmlformats-officedocument.wordprocessingml.footer+xml"/>
  <Override PartName="/word/footer13.xml" ContentType="application/vnd.openxmlformats-officedocument.wordprocessingml.footer+xml"/>
  <Override PartName="/word/header3.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embeddings/oleObject2.docx" ContentType="application/vnd.openxmlformats-officedocument.wordprocessingml.document"/>
  <Override PartName="/word/embeddings/oleObject1.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footer3.xml" ContentType="application/vnd.openxmlformats-officedocument.wordprocessingml.footer+xml"/>
  <Override PartName="/word/footnotes.xml" ContentType="application/vnd.openxmlformats-officedocument.wordprocessingml.footnotes+xml"/>
  <Override PartName="/word/footer7.xml" ContentType="application/vnd.openxmlformats-officedocument.wordprocessingml.footer+xml"/>
  <Override PartName="/word/footer10.xml" ContentType="application/vnd.openxmlformats-officedocument.wordprocessingml.footer+xml"/>
  <Override PartName="/word/header14.xml" ContentType="application/vnd.openxmlformats-officedocument.wordprocessingml.header+xml"/>
  <Override PartName="/word/theme/theme1.xml" ContentType="application/vnd.openxmlformats-officedocument.theme+xml"/>
  <Override PartName="/word/header5.xml" ContentType="application/vnd.openxmlformats-officedocument.wordprocessingml.header+xml"/>
  <Override PartName="/word/header1.xml" ContentType="application/vnd.openxmlformats-officedocument.wordprocessingml.header+xml"/>
  <Override PartName="/word/header10.xml" ContentType="application/vnd.openxmlformats-officedocument.wordprocessingml.header+xml"/>
  <Override PartName="/word/numbering.xml" ContentType="application/vnd.openxmlformats-officedocument.wordprocessingml.numbering+xml"/>
  <Override PartName="/word/footer6.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13.xml" ContentType="application/vnd.openxmlformats-officedocument.wordprocessingml.header+xml"/>
  <Override PartName="/word/header7.xml" ContentType="application/vnd.openxmlformats-officedocument.wordprocessingml.header+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media/image2.wmf" ContentType="image/x-wmf"/>
  <Override PartName="/word/media/image1.wmf" ContentType="image/x-wmf"/>
  <Override PartName="/word/media/image4.wmf" ContentType="image/x-wmf"/>
  <Override PartName="/word/media/image3.wmf" ContentType="image/x-wmf"/>
  <Override PartName="/word/header6.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styles.xml" ContentType="application/vnd.openxmlformats-officedocument.wordprocessingml.styles+xml"/>
  <Override PartName="/word/footer11.xml" ContentType="application/vnd.openxmlformats-officedocument.wordprocessingml.footer+xml"/>
  <Override PartName="/word/fontTable.xml" ContentType="application/vnd.openxmlformats-officedocument.wordprocessingml.fontTable+xml"/>
  <Override PartName="/word/footer9.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widowControl/>
        <w:suppressAutoHyphens w:val="true"/>
        <w:bidi w:val="0"/>
        <w:spacing w:before="120" w:after="0"/>
        <w:ind w:left="5443" w:right="0" w:hanging="0"/>
        <w:jc w:val="left"/>
        <w:textAlignment w:val="baseline"/>
        <w:rPr/>
      </w:pPr>
      <w:r>
        <w:rPr>
          <w:szCs w:val="28"/>
        </w:rPr>
        <w:t>«УТВЕРЖДАЮ»</w:t>
      </w:r>
    </w:p>
    <w:p>
      <w:pPr>
        <w:pStyle w:val="Standard"/>
        <w:ind w:left="5387" w:hanging="11"/>
        <w:rPr>
          <w:rFonts w:ascii="Times New Roman" w:hAnsi="Times New Roman" w:eastAsia="Calibri" w:cs="Tahoma" w:eastAsiaTheme="minorHAnsi"/>
          <w:color w:val="auto"/>
          <w:kern w:val="0"/>
          <w:sz w:val="26"/>
          <w:szCs w:val="28"/>
          <w:lang w:val="ru-RU" w:eastAsia="en-US" w:bidi="ar-SA"/>
        </w:rPr>
      </w:pPr>
      <w:r>
        <w:rPr>
          <w:rFonts w:eastAsia="Calibri" w:cs="Tahoma" w:eastAsiaTheme="minorHAnsi"/>
          <w:color w:val="auto"/>
          <w:kern w:val="0"/>
          <w:sz w:val="26"/>
          <w:szCs w:val="28"/>
          <w:lang w:val="ru-RU" w:eastAsia="en-US" w:bidi="ar-SA"/>
        </w:rPr>
        <w:t>Председатель закупочной комиссии первого уровня филиала ПАО «РусГидро» - «Северо-Осетинский филиал»</w:t>
      </w:r>
    </w:p>
    <w:p>
      <w:pPr>
        <w:pStyle w:val="Standard"/>
        <w:ind w:hanging="0"/>
        <w:rPr>
          <w:rFonts w:ascii="Times New Roman" w:hAnsi="Times New Roman" w:eastAsia="Calibri" w:cs="Tahoma" w:eastAsiaTheme="minorHAnsi"/>
          <w:color w:val="auto"/>
          <w:kern w:val="0"/>
          <w:sz w:val="26"/>
          <w:szCs w:val="28"/>
          <w:lang w:val="ru-RU" w:eastAsia="en-US" w:bidi="ar-SA"/>
        </w:rPr>
      </w:pPr>
      <w:r>
        <w:rPr>
          <w:rFonts w:eastAsia="Calibri" w:cs="Tahoma" w:eastAsiaTheme="minorHAnsi"/>
          <w:color w:val="auto"/>
          <w:kern w:val="0"/>
          <w:sz w:val="26"/>
          <w:szCs w:val="28"/>
          <w:lang w:val="ru-RU" w:eastAsia="en-US" w:bidi="ar-SA"/>
        </w:rPr>
        <w:tab/>
        <w:tab/>
        <w:tab/>
        <w:tab/>
        <w:tab/>
        <w:tab/>
        <w:tab/>
        <w:t xml:space="preserve">       __________________Дзоблаев В.В.</w:t>
      </w:r>
    </w:p>
    <w:p>
      <w:pPr>
        <w:pStyle w:val="Standard"/>
        <w:numPr>
          <w:ilvl w:val="0"/>
          <w:numId w:val="0"/>
        </w:numPr>
        <w:spacing w:before="480" w:after="360"/>
        <w:ind w:left="0" w:hanging="0"/>
        <w:jc w:val="center"/>
        <w:outlineLvl w:val="4"/>
        <w:rPr>
          <w:rFonts w:ascii="Times New Roman" w:hAnsi="Times New Roman" w:eastAsia="Calibri" w:cs="Tahoma" w:eastAsiaTheme="minorHAnsi"/>
          <w:color w:val="auto"/>
          <w:kern w:val="0"/>
          <w:sz w:val="26"/>
          <w:szCs w:val="28"/>
          <w:lang w:val="ru-RU" w:eastAsia="en-US" w:bidi="ar-SA"/>
        </w:rPr>
      </w:pPr>
      <w:bookmarkStart w:id="0" w:name="__RefHeading___Toc8083_2108349281"/>
      <w:bookmarkEnd w:id="0"/>
      <w:r>
        <w:rPr>
          <w:rFonts w:eastAsia="Calibri" w:cs="Tahoma" w:eastAsiaTheme="minorHAnsi"/>
          <w:color w:val="auto"/>
          <w:kern w:val="0"/>
          <w:sz w:val="26"/>
          <w:szCs w:val="28"/>
          <w:lang w:val="ru-RU" w:eastAsia="en-US" w:bidi="ar-SA"/>
        </w:rPr>
        <w:t xml:space="preserve">                                                                        </w:t>
      </w:r>
      <w:r>
        <w:rPr>
          <w:rFonts w:eastAsia="Calibri" w:cs="Tahoma" w:eastAsiaTheme="minorHAnsi"/>
          <w:color w:val="auto"/>
          <w:kern w:val="0"/>
          <w:sz w:val="26"/>
          <w:szCs w:val="28"/>
          <w:lang w:val="ru-RU" w:eastAsia="en-US" w:bidi="ar-SA"/>
        </w:rPr>
        <w:t>«___» _______________ 2026 год</w:t>
      </w:r>
    </w:p>
    <w:p>
      <w:pPr>
        <w:pStyle w:val="Style29"/>
        <w:rPr/>
      </w:pPr>
      <w:r>
        <w:rPr/>
      </w:r>
    </w:p>
    <w:p>
      <w:pPr>
        <w:pStyle w:val="Style29"/>
        <w:rPr/>
      </w:pPr>
      <w:r>
        <w:rPr/>
      </w:r>
    </w:p>
    <w:p>
      <w:pPr>
        <w:pStyle w:val="Style29"/>
        <w:rPr/>
      </w:pPr>
      <w:r>
        <w:rPr/>
      </w:r>
    </w:p>
    <w:p>
      <w:pPr>
        <w:pStyle w:val="Style29"/>
        <w:rPr/>
      </w:pPr>
      <w:r>
        <w:rPr/>
      </w:r>
    </w:p>
    <w:p>
      <w:pPr>
        <w:pStyle w:val="Style29"/>
        <w:rPr/>
      </w:pPr>
      <w:r>
        <w:rPr/>
      </w:r>
    </w:p>
    <w:p>
      <w:pPr>
        <w:pStyle w:val="Style29"/>
        <w:keepNext w:val="true"/>
        <w:numPr>
          <w:ilvl w:val="0"/>
          <w:numId w:val="0"/>
        </w:numPr>
        <w:ind w:left="0" w:hanging="0"/>
        <w:jc w:val="center"/>
        <w:outlineLvl w:val="2"/>
        <w:rPr>
          <w:b/>
          <w:bCs/>
          <w:caps/>
        </w:rPr>
      </w:pPr>
      <w:r>
        <w:rPr>
          <w:b/>
          <w:bCs/>
          <w:caps/>
        </w:rPr>
        <w:t>Документация о закупке</w:t>
      </w:r>
    </w:p>
    <w:p>
      <w:pPr>
        <w:pStyle w:val="Style29"/>
        <w:keepNext w:val="true"/>
        <w:spacing w:before="240" w:after="0"/>
        <w:jc w:val="center"/>
        <w:rPr/>
      </w:pPr>
      <w:r>
        <w:rPr>
          <w:sz w:val="26"/>
          <w:szCs w:val="26"/>
        </w:rPr>
        <w:t>Состязательный отбор в электронной форме</w:t>
        <w:br/>
        <w:t>на право заключения договора по  </w:t>
      </w:r>
      <w:r>
        <w:rPr>
          <w:rStyle w:val="Style11"/>
          <w:b w:val="false"/>
          <w:i w:val="false"/>
          <w:iCs w:val="false"/>
          <w:strike w:val="false"/>
          <w:dstrike w:val="false"/>
          <w:outline w:val="false"/>
          <w:shadow w:val="false"/>
          <w:sz w:val="26"/>
          <w:szCs w:val="26"/>
          <w:u w:val="none"/>
          <w:shd w:fill="auto" w:val="clear"/>
          <w:em w:val="none"/>
        </w:rPr>
        <w:t>О</w:t>
      </w:r>
      <w:r>
        <w:rPr>
          <w:b w:val="false"/>
          <w:i w:val="false"/>
          <w:strike w:val="false"/>
          <w:dstrike w:val="false"/>
          <w:outline w:val="false"/>
          <w:shadow w:val="false"/>
          <w:sz w:val="26"/>
          <w:szCs w:val="26"/>
          <w:u w:val="none"/>
          <w:em w:val="none"/>
        </w:rPr>
        <w:t xml:space="preserve">КПД2 27.12.32.000 Проектирование, поставка оборудования ОМП волнового типа ВЛ330 и комплекта ПА с функцией АРО СГО Зарамагской ГЭС-1 в рамках инвестиционного проекта 00103-СОФ-2025                                            </w:t>
      </w:r>
    </w:p>
    <w:p>
      <w:pPr>
        <w:sectPr>
          <w:footerReference w:type="default" r:id="rId2"/>
          <w:type w:val="nextPage"/>
          <w:pgSz w:w="11906" w:h="16838"/>
          <w:pgMar w:left="1134" w:right="850" w:gutter="0" w:header="0" w:top="851" w:footer="567" w:bottom="851"/>
          <w:pgNumType w:fmt="decimal"/>
          <w:formProt w:val="false"/>
          <w:textDirection w:val="lrTb"/>
          <w:docGrid w:type="default" w:linePitch="360" w:charSpace="0"/>
        </w:sectPr>
        <w:pStyle w:val="Style29"/>
        <w:spacing w:before="240" w:after="0"/>
        <w:jc w:val="center"/>
        <w:rPr/>
      </w:pPr>
      <w:r>
        <w:rPr>
          <w:sz w:val="26"/>
          <w:szCs w:val="26"/>
        </w:rPr>
        <w:t>(Лот №</w:t>
      </w:r>
      <w:r>
        <w:rPr>
          <w:b w:val="false"/>
          <w:i w:val="false"/>
          <w:strike w:val="false"/>
          <w:dstrike w:val="false"/>
          <w:outline w:val="false"/>
          <w:shadow w:val="false"/>
          <w:sz w:val="26"/>
          <w:szCs w:val="26"/>
          <w:u w:val="none"/>
          <w:em w:val="none"/>
        </w:rPr>
        <w:t>0058-ТПИР ОБСЛ-2026-СОФ</w:t>
      </w:r>
      <w:r>
        <w:rPr/>
        <w:t>)</w:t>
      </w:r>
    </w:p>
    <w:p>
      <w:pPr>
        <w:pStyle w:val="Style28"/>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r>
            <w:fldChar w:fldCharType="begin"/>
          </w:r>
          <w:r>
            <w:rPr>
              <w:webHidden/>
              <w:rStyle w:val="Style19"/>
              <w:vanish w:val="false"/>
            </w:rPr>
            <w:instrText xml:space="preserve"> TOC \z \u \t "[РГ] Перечисление,5,[РГ] Подпункт,4,[РГ] Пункт,3,[РГ] Подраздел,2,[РГ] Раздел,1,[РГ] Раздел,1,[РГ] Раздел,1,[РГ] Подраздел,2,[РГ] Подраздел,2,[РГ] Пункт,3,[РГ] Подпункт,4,[РГ] Перечисление,5" \h</w:instrText>
          </w:r>
          <w:r>
            <w:rPr>
              <w:webHidden/>
              <w:rStyle w:val="Style19"/>
              <w:vanish w:val="false"/>
            </w:rPr>
            <w:fldChar w:fldCharType="separate"/>
          </w:r>
          <w:hyperlink w:anchor="_Toc187767939">
            <w:r>
              <w:rPr>
                <w:webHidden/>
              </w:rPr>
              <w:fldChar w:fldCharType="begin"/>
            </w:r>
            <w:r>
              <w:rPr>
                <w:webHidden/>
              </w:rPr>
              <w:instrText xml:space="preserve">PAGEREF _Toc187767939 \h</w:instrText>
            </w:r>
            <w:r>
              <w:rPr>
                <w:webHidden/>
              </w:rPr>
              <w:fldChar w:fldCharType="separate"/>
            </w:r>
            <w:r>
              <w:rPr>
                <w:webHidden/>
                <w:rStyle w:val="Style19"/>
                <w:vanish w:val="false"/>
              </w:rPr>
              <w:t>Сокращения</w:t>
              <w:tab/>
              <w:t>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40">
            <w:r>
              <w:rPr>
                <w:webHidden/>
              </w:rPr>
              <w:fldChar w:fldCharType="begin"/>
            </w:r>
            <w:r>
              <w:rPr>
                <w:webHidden/>
              </w:rPr>
              <w:instrText xml:space="preserve">PAGEREF _Toc187767940 \h</w:instrText>
            </w:r>
            <w:r>
              <w:rPr>
                <w:webHidden/>
              </w:rPr>
              <w:fldChar w:fldCharType="separate"/>
            </w:r>
            <w:r>
              <w:rPr>
                <w:webHidden/>
                <w:rStyle w:val="Style19"/>
                <w:vanish w:val="false"/>
              </w:rPr>
              <w:t>Термины и определения</w:t>
              <w:tab/>
              <w:t>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41">
            <w:r>
              <w:rPr>
                <w:webHidden/>
                <w:rStyle w:val="Style19"/>
                <w:vanish w:val="false"/>
              </w:rPr>
              <w:t>1.</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Основные сведения о закупке</w:t>
            </w:r>
            <w:r>
              <w:rPr>
                <w:webHidden/>
              </w:rPr>
              <w:fldChar w:fldCharType="begin"/>
            </w:r>
            <w:r>
              <w:rPr>
                <w:webHidden/>
              </w:rPr>
              <w:instrText xml:space="preserve">PAGEREF _Toc187767941 \h</w:instrText>
            </w:r>
            <w:r>
              <w:rPr>
                <w:webHidden/>
              </w:rPr>
              <w:fldChar w:fldCharType="separate"/>
            </w:r>
            <w:r>
              <w:rPr>
                <w:rStyle w:val="Style19"/>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42">
            <w:r>
              <w:rPr>
                <w:webHidden/>
                <w:rStyle w:val="Style19"/>
                <w:vanish w:val="false"/>
              </w:rPr>
              <w:t>1.1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Статус настоящего раздела</w:t>
            </w:r>
            <w:r>
              <w:rPr>
                <w:webHidden/>
              </w:rPr>
              <w:fldChar w:fldCharType="begin"/>
            </w:r>
            <w:r>
              <w:rPr>
                <w:webHidden/>
              </w:rPr>
              <w:instrText xml:space="preserve">PAGEREF _Toc187767942 \h</w:instrText>
            </w:r>
            <w:r>
              <w:rPr>
                <w:webHidden/>
              </w:rPr>
              <w:fldChar w:fldCharType="separate"/>
            </w:r>
            <w:r>
              <w:rPr>
                <w:rStyle w:val="Style19"/>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43">
            <w:r>
              <w:rPr>
                <w:webHidden/>
                <w:rStyle w:val="Style19"/>
                <w:vanish w:val="false"/>
              </w:rPr>
              <w:t>1.2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Информация о проводимой закупке</w:t>
            </w:r>
            <w:r>
              <w:rPr>
                <w:webHidden/>
              </w:rPr>
              <w:fldChar w:fldCharType="begin"/>
            </w:r>
            <w:r>
              <w:rPr>
                <w:webHidden/>
              </w:rPr>
              <w:instrText xml:space="preserve">PAGEREF _Toc187767943 \h</w:instrText>
            </w:r>
            <w:r>
              <w:rPr>
                <w:webHidden/>
              </w:rPr>
              <w:fldChar w:fldCharType="separate"/>
            </w:r>
            <w:r>
              <w:rPr>
                <w:rStyle w:val="Style19"/>
                <w:vanish w:val="false"/>
              </w:rPr>
              <w:tab/>
              <w:t>12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44">
            <w:r>
              <w:rPr>
                <w:webHidden/>
                <w:rStyle w:val="Style19"/>
                <w:vanish w:val="false"/>
              </w:rPr>
              <w:t>2.</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Общие положения</w:t>
            </w:r>
            <w:r>
              <w:rPr>
                <w:webHidden/>
              </w:rPr>
              <w:fldChar w:fldCharType="begin"/>
            </w:r>
            <w:r>
              <w:rPr>
                <w:webHidden/>
              </w:rPr>
              <w:instrText xml:space="preserve">PAGEREF _Toc187767944 \h</w:instrText>
            </w:r>
            <w:r>
              <w:rPr>
                <w:webHidden/>
              </w:rPr>
              <w:fldChar w:fldCharType="separate"/>
            </w:r>
            <w:r>
              <w:rPr>
                <w:rStyle w:val="Style19"/>
                <w:vanish w:val="false"/>
              </w:rPr>
              <w:tab/>
              <w:t>22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45">
            <w:r>
              <w:rPr>
                <w:webHidden/>
                <w:rStyle w:val="Style19"/>
                <w:vanish w:val="false"/>
              </w:rPr>
              <w:t>2.1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Общие сведения о закупке</w:t>
            </w:r>
            <w:r>
              <w:rPr>
                <w:webHidden/>
              </w:rPr>
              <w:fldChar w:fldCharType="begin"/>
            </w:r>
            <w:r>
              <w:rPr>
                <w:webHidden/>
              </w:rPr>
              <w:instrText xml:space="preserve">PAGEREF _Toc187767945 \h</w:instrText>
            </w:r>
            <w:r>
              <w:rPr>
                <w:webHidden/>
              </w:rPr>
              <w:fldChar w:fldCharType="separate"/>
            </w:r>
            <w:r>
              <w:rPr>
                <w:rStyle w:val="Style19"/>
                <w:vanish w:val="false"/>
              </w:rPr>
              <w:tab/>
              <w:t>22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46">
            <w:r>
              <w:rPr>
                <w:webHidden/>
                <w:rStyle w:val="Style19"/>
                <w:vanish w:val="false"/>
              </w:rPr>
              <w:t>2.2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Правовой статус документов</w:t>
            </w:r>
            <w:r>
              <w:rPr>
                <w:webHidden/>
              </w:rPr>
              <w:fldChar w:fldCharType="begin"/>
            </w:r>
            <w:r>
              <w:rPr>
                <w:webHidden/>
              </w:rPr>
              <w:instrText xml:space="preserve">PAGEREF _Toc187767946 \h</w:instrText>
            </w:r>
            <w:r>
              <w:rPr>
                <w:webHidden/>
              </w:rPr>
              <w:fldChar w:fldCharType="separate"/>
            </w:r>
            <w:r>
              <w:rPr>
                <w:rStyle w:val="Style19"/>
                <w:vanish w:val="false"/>
              </w:rPr>
              <w:tab/>
              <w:t>22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47">
            <w:r>
              <w:rPr>
                <w:webHidden/>
                <w:rStyle w:val="Style19"/>
                <w:vanish w:val="false"/>
              </w:rPr>
              <w:t>2.3</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Обжалование</w:t>
            </w:r>
            <w:r>
              <w:rPr>
                <w:webHidden/>
              </w:rPr>
              <w:fldChar w:fldCharType="begin"/>
            </w:r>
            <w:r>
              <w:rPr>
                <w:webHidden/>
              </w:rPr>
              <w:instrText xml:space="preserve">PAGEREF _Toc187767947 \h</w:instrText>
            </w:r>
            <w:r>
              <w:rPr>
                <w:webHidden/>
              </w:rPr>
              <w:fldChar w:fldCharType="separate"/>
            </w:r>
            <w:r>
              <w:rPr>
                <w:rStyle w:val="Style19"/>
                <w:vanish w:val="false"/>
              </w:rPr>
              <w:tab/>
              <w:t>23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48">
            <w:r>
              <w:rPr>
                <w:webHidden/>
                <w:rStyle w:val="Style19"/>
                <w:vanish w:val="false"/>
              </w:rPr>
              <w:t>2.4</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Особые положения при проведении закупки с использованием ЭП</w:t>
            </w:r>
            <w:r>
              <w:rPr>
                <w:webHidden/>
              </w:rPr>
              <w:fldChar w:fldCharType="begin"/>
            </w:r>
            <w:r>
              <w:rPr>
                <w:webHidden/>
              </w:rPr>
              <w:instrText xml:space="preserve">PAGEREF _Toc187767948 \h</w:instrText>
            </w:r>
            <w:r>
              <w:rPr>
                <w:webHidden/>
              </w:rPr>
              <w:fldChar w:fldCharType="separate"/>
            </w:r>
            <w:r>
              <w:rPr>
                <w:rStyle w:val="Style19"/>
                <w:vanish w:val="false"/>
              </w:rPr>
              <w:tab/>
              <w:t>24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49">
            <w:r>
              <w:rPr>
                <w:webHidden/>
                <w:rStyle w:val="Style19"/>
                <w:vanish w:val="false"/>
              </w:rPr>
              <w:t>2.5</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Прочие положения</w:t>
            </w:r>
            <w:r>
              <w:rPr>
                <w:webHidden/>
              </w:rPr>
              <w:fldChar w:fldCharType="begin"/>
            </w:r>
            <w:r>
              <w:rPr>
                <w:webHidden/>
              </w:rPr>
              <w:instrText xml:space="preserve">PAGEREF _Toc187767949 \h</w:instrText>
            </w:r>
            <w:r>
              <w:rPr>
                <w:webHidden/>
              </w:rPr>
              <w:fldChar w:fldCharType="separate"/>
            </w:r>
            <w:r>
              <w:rPr>
                <w:rStyle w:val="Style19"/>
                <w:vanish w:val="false"/>
              </w:rPr>
              <w:tab/>
              <w:t>24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50">
            <w:r>
              <w:rPr>
                <w:webHidden/>
                <w:rStyle w:val="Style19"/>
                <w:vanish w:val="false"/>
              </w:rPr>
              <w:t>3.</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Требования к Участникам</w:t>
            </w:r>
            <w:r>
              <w:rPr>
                <w:webHidden/>
              </w:rPr>
              <w:fldChar w:fldCharType="begin"/>
            </w:r>
            <w:r>
              <w:rPr>
                <w:webHidden/>
              </w:rPr>
              <w:instrText xml:space="preserve">PAGEREF _Toc187767950 \h</w:instrText>
            </w:r>
            <w:r>
              <w:rPr>
                <w:webHidden/>
              </w:rPr>
              <w:fldChar w:fldCharType="separate"/>
            </w:r>
            <w:r>
              <w:rPr>
                <w:rStyle w:val="Style19"/>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51">
            <w:r>
              <w:rPr>
                <w:webHidden/>
                <w:rStyle w:val="Style19"/>
                <w:vanish w:val="false"/>
              </w:rPr>
              <w:t>3.1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Общие требования к Участникам</w:t>
            </w:r>
            <w:r>
              <w:rPr>
                <w:webHidden/>
              </w:rPr>
              <w:fldChar w:fldCharType="begin"/>
            </w:r>
            <w:r>
              <w:rPr>
                <w:webHidden/>
              </w:rPr>
              <w:instrText xml:space="preserve">PAGEREF _Toc187767951 \h</w:instrText>
            </w:r>
            <w:r>
              <w:rPr>
                <w:webHidden/>
              </w:rPr>
              <w:fldChar w:fldCharType="separate"/>
            </w:r>
            <w:r>
              <w:rPr>
                <w:rStyle w:val="Style19"/>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52">
            <w:r>
              <w:rPr>
                <w:webHidden/>
                <w:rStyle w:val="Style19"/>
                <w:vanish w:val="false"/>
              </w:rPr>
              <w:t>3.2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Коллективные участники</w:t>
            </w:r>
            <w:r>
              <w:rPr>
                <w:webHidden/>
              </w:rPr>
              <w:fldChar w:fldCharType="begin"/>
            </w:r>
            <w:r>
              <w:rPr>
                <w:webHidden/>
              </w:rPr>
              <w:instrText xml:space="preserve">PAGEREF _Toc187767952 \h</w:instrText>
            </w:r>
            <w:r>
              <w:rPr>
                <w:webHidden/>
              </w:rPr>
              <w:fldChar w:fldCharType="separate"/>
            </w:r>
            <w:r>
              <w:rPr>
                <w:rStyle w:val="Style19"/>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53">
            <w:r>
              <w:rPr>
                <w:webHidden/>
                <w:rStyle w:val="Style19"/>
                <w:vanish w:val="false"/>
              </w:rPr>
              <w:t>3.3</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Генеральные подрядчики</w:t>
            </w:r>
            <w:r>
              <w:rPr>
                <w:webHidden/>
              </w:rPr>
              <w:fldChar w:fldCharType="begin"/>
            </w:r>
            <w:r>
              <w:rPr>
                <w:webHidden/>
              </w:rPr>
              <w:instrText xml:space="preserve">PAGEREF _Toc187767953 \h</w:instrText>
            </w:r>
            <w:r>
              <w:rPr>
                <w:webHidden/>
              </w:rPr>
              <w:fldChar w:fldCharType="separate"/>
            </w:r>
            <w:r>
              <w:rPr>
                <w:rStyle w:val="Style19"/>
                <w:vanish w:val="false"/>
              </w:rPr>
              <w:tab/>
              <w:t>27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54">
            <w:r>
              <w:rPr>
                <w:webHidden/>
                <w:rStyle w:val="Style19"/>
                <w:vanish w:val="false"/>
              </w:rPr>
              <w:t>4.</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Порядок проведения закупки</w:t>
            </w:r>
            <w:r>
              <w:rPr>
                <w:webHidden/>
              </w:rPr>
              <w:fldChar w:fldCharType="begin"/>
            </w:r>
            <w:r>
              <w:rPr>
                <w:webHidden/>
              </w:rPr>
              <w:instrText xml:space="preserve">PAGEREF _Toc187767954 \h</w:instrText>
            </w:r>
            <w:r>
              <w:rPr>
                <w:webHidden/>
              </w:rPr>
              <w:fldChar w:fldCharType="separate"/>
            </w:r>
            <w:r>
              <w:rPr>
                <w:rStyle w:val="Style19"/>
                <w:vanish w:val="false"/>
              </w:rPr>
              <w:tab/>
              <w:t>29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55">
            <w:r>
              <w:rPr>
                <w:webHidden/>
                <w:rStyle w:val="Style19"/>
                <w:vanish w:val="false"/>
              </w:rPr>
              <w:t>4.1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Общий порядок проведения закупки</w:t>
            </w:r>
            <w:r>
              <w:rPr>
                <w:webHidden/>
              </w:rPr>
              <w:fldChar w:fldCharType="begin"/>
            </w:r>
            <w:r>
              <w:rPr>
                <w:webHidden/>
              </w:rPr>
              <w:instrText xml:space="preserve">PAGEREF _Toc187767955 \h</w:instrText>
            </w:r>
            <w:r>
              <w:rPr>
                <w:webHidden/>
              </w:rPr>
              <w:fldChar w:fldCharType="separate"/>
            </w:r>
            <w:r>
              <w:rPr>
                <w:rStyle w:val="Style19"/>
                <w:vanish w:val="false"/>
              </w:rPr>
              <w:tab/>
              <w:t>29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56">
            <w:r>
              <w:rPr>
                <w:webHidden/>
                <w:rStyle w:val="Style19"/>
                <w:vanish w:val="false"/>
              </w:rPr>
              <w:t>4.2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Официальное размещение Извещения и Документации о закупке</w:t>
            </w:r>
            <w:r>
              <w:rPr>
                <w:webHidden/>
              </w:rPr>
              <w:fldChar w:fldCharType="begin"/>
            </w:r>
            <w:r>
              <w:rPr>
                <w:webHidden/>
              </w:rPr>
              <w:instrText xml:space="preserve">PAGEREF _Toc187767956 \h</w:instrText>
            </w:r>
            <w:r>
              <w:rPr>
                <w:webHidden/>
              </w:rPr>
              <w:fldChar w:fldCharType="separate"/>
            </w:r>
            <w:r>
              <w:rPr>
                <w:rStyle w:val="Style19"/>
                <w:vanish w:val="false"/>
              </w:rPr>
              <w:tab/>
              <w:t>31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57">
            <w:r>
              <w:rPr>
                <w:webHidden/>
                <w:rStyle w:val="Style19"/>
                <w:vanish w:val="false"/>
              </w:rPr>
              <w:t>4.3</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Подготовка заявки</w:t>
            </w:r>
            <w:r>
              <w:rPr>
                <w:webHidden/>
              </w:rPr>
              <w:fldChar w:fldCharType="begin"/>
            </w:r>
            <w:r>
              <w:rPr>
                <w:webHidden/>
              </w:rPr>
              <w:instrText xml:space="preserve">PAGEREF _Toc187767957 \h</w:instrText>
            </w:r>
            <w:r>
              <w:rPr>
                <w:webHidden/>
              </w:rPr>
              <w:fldChar w:fldCharType="separate"/>
            </w:r>
            <w:r>
              <w:rPr>
                <w:rStyle w:val="Style19"/>
                <w:vanish w:val="false"/>
              </w:rPr>
              <w:tab/>
              <w:t>31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58">
            <w:r>
              <w:rPr>
                <w:webHidden/>
                <w:rStyle w:val="Style19"/>
                <w:vanish w:val="false"/>
              </w:rPr>
              <w:t>4.4</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Разъяснение Документации о закупке</w:t>
            </w:r>
            <w:r>
              <w:rPr>
                <w:webHidden/>
              </w:rPr>
              <w:fldChar w:fldCharType="begin"/>
            </w:r>
            <w:r>
              <w:rPr>
                <w:webHidden/>
              </w:rPr>
              <w:instrText xml:space="preserve">PAGEREF _Toc187767958 \h</w:instrText>
            </w:r>
            <w:r>
              <w:rPr>
                <w:webHidden/>
              </w:rPr>
              <w:fldChar w:fldCharType="separate"/>
            </w:r>
            <w:r>
              <w:rPr>
                <w:rStyle w:val="Style19"/>
                <w:vanish w:val="false"/>
              </w:rPr>
              <w:tab/>
              <w:t>34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59">
            <w:r>
              <w:rPr>
                <w:webHidden/>
                <w:rStyle w:val="Style19"/>
                <w:vanish w:val="false"/>
              </w:rPr>
              <w:t>4.5</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Изменения Извещения и (или) Документации о закупке</w:t>
            </w:r>
            <w:r>
              <w:rPr>
                <w:webHidden/>
              </w:rPr>
              <w:fldChar w:fldCharType="begin"/>
            </w:r>
            <w:r>
              <w:rPr>
                <w:webHidden/>
              </w:rPr>
              <w:instrText xml:space="preserve">PAGEREF _Toc187767959 \h</w:instrText>
            </w:r>
            <w:r>
              <w:rPr>
                <w:webHidden/>
              </w:rPr>
              <w:fldChar w:fldCharType="separate"/>
            </w:r>
            <w:r>
              <w:rPr>
                <w:rStyle w:val="Style19"/>
                <w:vanish w:val="false"/>
              </w:rPr>
              <w:tab/>
              <w:t>34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0">
            <w:r>
              <w:rPr>
                <w:webHidden/>
                <w:rStyle w:val="Style19"/>
                <w:vanish w:val="false"/>
              </w:rPr>
              <w:t>4.6</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Подача заявок и их прием</w:t>
            </w:r>
            <w:r>
              <w:rPr>
                <w:webHidden/>
              </w:rPr>
              <w:fldChar w:fldCharType="begin"/>
            </w:r>
            <w:r>
              <w:rPr>
                <w:webHidden/>
              </w:rPr>
              <w:instrText xml:space="preserve">PAGEREF _Toc187767960 \h</w:instrText>
            </w:r>
            <w:r>
              <w:rPr>
                <w:webHidden/>
              </w:rPr>
              <w:fldChar w:fldCharType="separate"/>
            </w:r>
            <w:r>
              <w:rPr>
                <w:rStyle w:val="Style19"/>
                <w:vanish w:val="false"/>
              </w:rPr>
              <w:tab/>
              <w:t>35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1">
            <w:r>
              <w:rPr>
                <w:webHidden/>
                <w:rStyle w:val="Style19"/>
                <w:vanish w:val="false"/>
              </w:rPr>
              <w:t>4.7</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Изменение и отзыв заявок</w:t>
            </w:r>
            <w:r>
              <w:rPr>
                <w:webHidden/>
              </w:rPr>
              <w:fldChar w:fldCharType="begin"/>
            </w:r>
            <w:r>
              <w:rPr>
                <w:webHidden/>
              </w:rPr>
              <w:instrText xml:space="preserve">PAGEREF _Toc187767961 \h</w:instrText>
            </w:r>
            <w:r>
              <w:rPr>
                <w:webHidden/>
              </w:rPr>
              <w:fldChar w:fldCharType="separate"/>
            </w:r>
            <w:r>
              <w:rPr>
                <w:rStyle w:val="Style19"/>
                <w:vanish w:val="false"/>
              </w:rPr>
              <w:tab/>
              <w:t>36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2">
            <w:r>
              <w:rPr>
                <w:webHidden/>
                <w:rStyle w:val="Style19"/>
                <w:vanish w:val="false"/>
              </w:rPr>
              <w:t>4.8</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Открытие доступа к заявкам</w:t>
            </w:r>
            <w:r>
              <w:rPr>
                <w:webHidden/>
              </w:rPr>
              <w:fldChar w:fldCharType="begin"/>
            </w:r>
            <w:r>
              <w:rPr>
                <w:webHidden/>
              </w:rPr>
              <w:instrText xml:space="preserve">PAGEREF _Toc187767962 \h</w:instrText>
            </w:r>
            <w:r>
              <w:rPr>
                <w:webHidden/>
              </w:rPr>
              <w:fldChar w:fldCharType="separate"/>
            </w:r>
            <w:r>
              <w:rPr>
                <w:rStyle w:val="Style19"/>
                <w:vanish w:val="false"/>
              </w:rPr>
              <w:tab/>
              <w:t>36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3">
            <w:r>
              <w:rPr>
                <w:webHidden/>
                <w:rStyle w:val="Style19"/>
                <w:vanish w:val="false"/>
              </w:rPr>
              <w:t>4.9</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Рассмотрение заявок (отборочная стадия), в том числе (при необходимости) проведение аккредитации</w:t>
            </w:r>
            <w:r>
              <w:rPr>
                <w:webHidden/>
              </w:rPr>
              <w:fldChar w:fldCharType="begin"/>
            </w:r>
            <w:r>
              <w:rPr>
                <w:webHidden/>
              </w:rPr>
              <w:instrText xml:space="preserve">PAGEREF _Toc187767963 \h</w:instrText>
            </w:r>
            <w:r>
              <w:rPr>
                <w:webHidden/>
              </w:rPr>
              <w:fldChar w:fldCharType="separate"/>
            </w:r>
            <w:r>
              <w:rPr>
                <w:rStyle w:val="Style19"/>
                <w:vanish w:val="false"/>
              </w:rPr>
              <w:tab/>
              <w:t>37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4">
            <w:r>
              <w:rPr>
                <w:webHidden/>
                <w:rStyle w:val="Style19"/>
                <w:vanish w:val="false"/>
              </w:rPr>
              <w:t>4.10</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Дополнительные запросы разъяснений заявок</w:t>
            </w:r>
            <w:r>
              <w:rPr>
                <w:webHidden/>
              </w:rPr>
              <w:fldChar w:fldCharType="begin"/>
            </w:r>
            <w:r>
              <w:rPr>
                <w:webHidden/>
              </w:rPr>
              <w:instrText xml:space="preserve">PAGEREF _Toc187767964 \h</w:instrText>
            </w:r>
            <w:r>
              <w:rPr>
                <w:webHidden/>
              </w:rPr>
              <w:fldChar w:fldCharType="separate"/>
            </w:r>
            <w:r>
              <w:rPr>
                <w:rStyle w:val="Style19"/>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5">
            <w:r>
              <w:rPr>
                <w:webHidden/>
                <w:rStyle w:val="Style19"/>
                <w:vanish w:val="false"/>
              </w:rPr>
              <w:t>4.11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Переторжка</w:t>
            </w:r>
            <w:r>
              <w:rPr>
                <w:webHidden/>
              </w:rPr>
              <w:fldChar w:fldCharType="begin"/>
            </w:r>
            <w:r>
              <w:rPr>
                <w:webHidden/>
              </w:rPr>
              <w:instrText xml:space="preserve">PAGEREF _Toc187767965 \h</w:instrText>
            </w:r>
            <w:r>
              <w:rPr>
                <w:webHidden/>
              </w:rPr>
              <w:fldChar w:fldCharType="separate"/>
            </w:r>
            <w:r>
              <w:rPr>
                <w:rStyle w:val="Style19"/>
                <w:vanish w:val="false"/>
              </w:rPr>
              <w:tab/>
              <w:t>41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6">
            <w:r>
              <w:rPr>
                <w:webHidden/>
                <w:rStyle w:val="Style19"/>
                <w:vanish w:val="false"/>
              </w:rPr>
              <w:t>4.12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Оценка и сопоставление заявок</w:t>
            </w:r>
            <w:r>
              <w:rPr>
                <w:webHidden/>
              </w:rPr>
              <w:fldChar w:fldCharType="begin"/>
            </w:r>
            <w:r>
              <w:rPr>
                <w:webHidden/>
              </w:rPr>
              <w:instrText xml:space="preserve">PAGEREF _Toc187767966 \h</w:instrText>
            </w:r>
            <w:r>
              <w:rPr>
                <w:webHidden/>
              </w:rPr>
              <w:fldChar w:fldCharType="separate"/>
            </w:r>
            <w:r>
              <w:rPr>
                <w:rStyle w:val="Style19"/>
                <w:vanish w:val="false"/>
              </w:rPr>
              <w:tab/>
              <w:t>43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7">
            <w:r>
              <w:rPr>
                <w:webHidden/>
                <w:rStyle w:val="Style19"/>
                <w:vanish w:val="false"/>
              </w:rPr>
              <w:t>4.13</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Применение законодательства о национальном режиме</w:t>
            </w:r>
            <w:r>
              <w:rPr>
                <w:webHidden/>
              </w:rPr>
              <w:fldChar w:fldCharType="begin"/>
            </w:r>
            <w:r>
              <w:rPr>
                <w:webHidden/>
              </w:rPr>
              <w:instrText xml:space="preserve">PAGEREF _Toc187767967 \h</w:instrText>
            </w:r>
            <w:r>
              <w:rPr>
                <w:webHidden/>
              </w:rPr>
              <w:fldChar w:fldCharType="separate"/>
            </w:r>
            <w:r>
              <w:rPr>
                <w:rStyle w:val="Style19"/>
                <w:vanish w:val="false"/>
              </w:rPr>
              <w:tab/>
              <w:t>44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8">
            <w:r>
              <w:rPr>
                <w:webHidden/>
                <w:rStyle w:val="Style19"/>
                <w:vanish w:val="false"/>
              </w:rPr>
              <w:t>4.14</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Подведение итогов закупки (определение Победителя)</w:t>
            </w:r>
            <w:r>
              <w:rPr>
                <w:webHidden/>
              </w:rPr>
              <w:fldChar w:fldCharType="begin"/>
            </w:r>
            <w:r>
              <w:rPr>
                <w:webHidden/>
              </w:rPr>
              <w:instrText xml:space="preserve">PAGEREF _Toc187767968 \h</w:instrText>
            </w:r>
            <w:r>
              <w:rPr>
                <w:webHidden/>
              </w:rPr>
              <w:fldChar w:fldCharType="separate"/>
            </w:r>
            <w:r>
              <w:rPr>
                <w:rStyle w:val="Style19"/>
                <w:vanish w:val="false"/>
              </w:rPr>
              <w:tab/>
              <w:t>45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69">
            <w:r>
              <w:rPr>
                <w:webHidden/>
                <w:rStyle w:val="Style19"/>
                <w:vanish w:val="false"/>
              </w:rPr>
              <w:t>4.15</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Признание закупки несостоявшейся</w:t>
            </w:r>
            <w:r>
              <w:rPr>
                <w:webHidden/>
              </w:rPr>
              <w:fldChar w:fldCharType="begin"/>
            </w:r>
            <w:r>
              <w:rPr>
                <w:webHidden/>
              </w:rPr>
              <w:instrText xml:space="preserve">PAGEREF _Toc187767969 \h</w:instrText>
            </w:r>
            <w:r>
              <w:rPr>
                <w:webHidden/>
              </w:rPr>
              <w:fldChar w:fldCharType="separate"/>
            </w:r>
            <w:r>
              <w:rPr>
                <w:rStyle w:val="Style19"/>
                <w:vanish w:val="false"/>
              </w:rPr>
              <w:tab/>
              <w:t>46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70">
            <w:r>
              <w:rPr>
                <w:webHidden/>
                <w:rStyle w:val="Style19"/>
                <w:vanish w:val="false"/>
              </w:rPr>
              <w:t>4.16</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Отказ от проведения закупки (отмена закупки)</w:t>
            </w:r>
            <w:r>
              <w:rPr>
                <w:webHidden/>
              </w:rPr>
              <w:fldChar w:fldCharType="begin"/>
            </w:r>
            <w:r>
              <w:rPr>
                <w:webHidden/>
              </w:rPr>
              <w:instrText xml:space="preserve">PAGEREF _Toc187767970 \h</w:instrText>
            </w:r>
            <w:r>
              <w:rPr>
                <w:webHidden/>
              </w:rPr>
              <w:fldChar w:fldCharType="separate"/>
            </w:r>
            <w:r>
              <w:rPr>
                <w:rStyle w:val="Style19"/>
                <w:vanish w:val="false"/>
              </w:rPr>
              <w:tab/>
              <w:t>47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71">
            <w:r>
              <w:rPr>
                <w:webHidden/>
                <w:rStyle w:val="Style19"/>
                <w:vanish w:val="false"/>
              </w:rPr>
              <w:t>4.17</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Особенности проведения закупки с необходимостью обеспечения заявки</w:t>
            </w:r>
            <w:r>
              <w:rPr>
                <w:webHidden/>
              </w:rPr>
              <w:fldChar w:fldCharType="begin"/>
            </w:r>
            <w:r>
              <w:rPr>
                <w:webHidden/>
              </w:rPr>
              <w:instrText xml:space="preserve">PAGEREF _Toc187767971 \h</w:instrText>
            </w:r>
            <w:r>
              <w:rPr>
                <w:webHidden/>
              </w:rPr>
              <w:fldChar w:fldCharType="separate"/>
            </w:r>
            <w:r>
              <w:rPr>
                <w:rStyle w:val="Style19"/>
                <w:vanish w:val="false"/>
              </w:rPr>
              <w:tab/>
              <w:t>47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72">
            <w:r>
              <w:rPr>
                <w:webHidden/>
                <w:rStyle w:val="Style19"/>
                <w:vanish w:val="false"/>
              </w:rPr>
              <w:t>4.18</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Особенности проведения многолотовой закупки</w:t>
            </w:r>
            <w:r>
              <w:rPr>
                <w:webHidden/>
              </w:rPr>
              <w:fldChar w:fldCharType="begin"/>
            </w:r>
            <w:r>
              <w:rPr>
                <w:webHidden/>
              </w:rPr>
              <w:instrText xml:space="preserve">PAGEREF _Toc187767972 \h</w:instrText>
            </w:r>
            <w:r>
              <w:rPr>
                <w:webHidden/>
              </w:rPr>
              <w:fldChar w:fldCharType="separate"/>
            </w:r>
            <w:r>
              <w:rPr>
                <w:rStyle w:val="Style19"/>
                <w:vanish w:val="false"/>
              </w:rPr>
              <w:tab/>
              <w:t>49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73">
            <w:r>
              <w:rPr>
                <w:webHidden/>
                <w:rStyle w:val="Style19"/>
                <w:vanish w:val="false"/>
              </w:rPr>
              <w:t>4.19</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Особенности проведения закупки с возможностью подачи альтернативных предложений</w:t>
            </w:r>
            <w:r>
              <w:rPr>
                <w:webHidden/>
              </w:rPr>
              <w:fldChar w:fldCharType="begin"/>
            </w:r>
            <w:r>
              <w:rPr>
                <w:webHidden/>
              </w:rPr>
              <w:instrText xml:space="preserve">PAGEREF _Toc187767973 \h</w:instrText>
            </w:r>
            <w:r>
              <w:rPr>
                <w:webHidden/>
              </w:rPr>
              <w:fldChar w:fldCharType="separate"/>
            </w:r>
            <w:r>
              <w:rPr>
                <w:rStyle w:val="Style19"/>
                <w:vanish w:val="false"/>
              </w:rPr>
              <w:tab/>
              <w:t>49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74">
            <w:r>
              <w:rPr>
                <w:webHidden/>
                <w:rStyle w:val="Style19"/>
                <w:vanish w:val="false"/>
              </w:rPr>
              <w:t>5.</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Порядок заключения Договора</w:t>
            </w:r>
            <w:r>
              <w:rPr>
                <w:webHidden/>
              </w:rPr>
              <w:fldChar w:fldCharType="begin"/>
            </w:r>
            <w:r>
              <w:rPr>
                <w:webHidden/>
              </w:rPr>
              <w:instrText xml:space="preserve">PAGEREF _Toc187767974 \h</w:instrText>
            </w:r>
            <w:r>
              <w:rPr>
                <w:webHidden/>
              </w:rPr>
              <w:fldChar w:fldCharType="separate"/>
            </w:r>
            <w:r>
              <w:rPr>
                <w:rStyle w:val="Style19"/>
                <w:vanish w:val="false"/>
              </w:rPr>
              <w:tab/>
              <w:t>51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75">
            <w:r>
              <w:rPr>
                <w:webHidden/>
                <w:rStyle w:val="Style19"/>
                <w:vanish w:val="false"/>
              </w:rPr>
              <w:t>5.1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Общие положения</w:t>
            </w:r>
            <w:r>
              <w:rPr>
                <w:webHidden/>
              </w:rPr>
              <w:fldChar w:fldCharType="begin"/>
            </w:r>
            <w:r>
              <w:rPr>
                <w:webHidden/>
              </w:rPr>
              <w:instrText xml:space="preserve">PAGEREF _Toc187767975 \h</w:instrText>
            </w:r>
            <w:r>
              <w:rPr>
                <w:webHidden/>
              </w:rPr>
              <w:fldChar w:fldCharType="separate"/>
            </w:r>
            <w:r>
              <w:rPr>
                <w:rStyle w:val="Style19"/>
                <w:vanish w:val="false"/>
              </w:rPr>
              <w:tab/>
              <w:t>51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76">
            <w:r>
              <w:rPr>
                <w:webHidden/>
                <w:rStyle w:val="Style19"/>
                <w:vanish w:val="false"/>
              </w:rPr>
              <w:t>5.2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Заключение Договора</w:t>
            </w:r>
            <w:r>
              <w:rPr>
                <w:webHidden/>
              </w:rPr>
              <w:fldChar w:fldCharType="begin"/>
            </w:r>
            <w:r>
              <w:rPr>
                <w:webHidden/>
              </w:rPr>
              <w:instrText xml:space="preserve">PAGEREF _Toc187767976 \h</w:instrText>
            </w:r>
            <w:r>
              <w:rPr>
                <w:webHidden/>
              </w:rPr>
              <w:fldChar w:fldCharType="separate"/>
            </w:r>
            <w:r>
              <w:rPr>
                <w:rStyle w:val="Style19"/>
                <w:vanish w:val="false"/>
              </w:rPr>
              <w:tab/>
              <w:t>51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77">
            <w:r>
              <w:rPr>
                <w:webHidden/>
                <w:rStyle w:val="Style19"/>
                <w:vanish w:val="false"/>
              </w:rPr>
              <w:t>5.3</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Преддоговорные переговоры</w:t>
            </w:r>
            <w:r>
              <w:rPr>
                <w:webHidden/>
              </w:rPr>
              <w:fldChar w:fldCharType="begin"/>
            </w:r>
            <w:r>
              <w:rPr>
                <w:webHidden/>
              </w:rPr>
              <w:instrText xml:space="preserve">PAGEREF _Toc187767977 \h</w:instrText>
            </w:r>
            <w:r>
              <w:rPr>
                <w:webHidden/>
              </w:rPr>
              <w:fldChar w:fldCharType="separate"/>
            </w:r>
            <w:r>
              <w:rPr>
                <w:rStyle w:val="Style19"/>
                <w:vanish w:val="false"/>
              </w:rPr>
              <w:tab/>
              <w:t>53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78">
            <w:r>
              <w:rPr>
                <w:webHidden/>
                <w:rStyle w:val="Style19"/>
                <w:vanish w:val="false"/>
              </w:rPr>
              <w:t>5.4</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Уклонение Победителя от заключения Договора</w:t>
            </w:r>
            <w:r>
              <w:rPr>
                <w:webHidden/>
              </w:rPr>
              <w:fldChar w:fldCharType="begin"/>
            </w:r>
            <w:r>
              <w:rPr>
                <w:webHidden/>
              </w:rPr>
              <w:instrText xml:space="preserve">PAGEREF _Toc187767978 \h</w:instrText>
            </w:r>
            <w:r>
              <w:rPr>
                <w:webHidden/>
              </w:rPr>
              <w:fldChar w:fldCharType="separate"/>
            </w:r>
            <w:r>
              <w:rPr>
                <w:rStyle w:val="Style19"/>
                <w:vanish w:val="false"/>
              </w:rPr>
              <w:tab/>
              <w:t>55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79">
            <w:r>
              <w:rPr>
                <w:webHidden/>
                <w:rStyle w:val="Style19"/>
                <w:vanish w:val="false"/>
              </w:rPr>
              <w:t>6.</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1 – Технические требования</w:t>
            </w:r>
            <w:r>
              <w:rPr>
                <w:webHidden/>
              </w:rPr>
              <w:fldChar w:fldCharType="begin"/>
            </w:r>
            <w:r>
              <w:rPr>
                <w:webHidden/>
              </w:rPr>
              <w:instrText xml:space="preserve">PAGEREF _Toc187767979 \h</w:instrText>
            </w:r>
            <w:r>
              <w:rPr>
                <w:webHidden/>
              </w:rPr>
              <w:fldChar w:fldCharType="separate"/>
            </w:r>
            <w:r>
              <w:rPr>
                <w:rStyle w:val="Style19"/>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80">
            <w:r>
              <w:rPr>
                <w:webHidden/>
                <w:rStyle w:val="Style19"/>
                <w:vanish w:val="false"/>
              </w:rPr>
              <w:t>6.1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Пояснения к Техническим требованиям</w:t>
            </w:r>
            <w:r>
              <w:rPr>
                <w:webHidden/>
              </w:rPr>
              <w:fldChar w:fldCharType="begin"/>
            </w:r>
            <w:r>
              <w:rPr>
                <w:webHidden/>
              </w:rPr>
              <w:instrText xml:space="preserve">PAGEREF _Toc187767980 \h</w:instrText>
            </w:r>
            <w:r>
              <w:rPr>
                <w:webHidden/>
              </w:rPr>
              <w:fldChar w:fldCharType="separate"/>
            </w:r>
            <w:r>
              <w:rPr>
                <w:rStyle w:val="Style19"/>
                <w:vanish w:val="false"/>
              </w:rPr>
              <w:tab/>
              <w:t>56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81">
            <w:r>
              <w:rPr>
                <w:webHidden/>
                <w:rStyle w:val="Style19"/>
                <w:vanish w:val="false"/>
              </w:rPr>
              <w:t>7.</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2 – Проект договора</w:t>
            </w:r>
            <w:r>
              <w:rPr>
                <w:webHidden/>
              </w:rPr>
              <w:fldChar w:fldCharType="begin"/>
            </w:r>
            <w:r>
              <w:rPr>
                <w:webHidden/>
              </w:rPr>
              <w:instrText xml:space="preserve">PAGEREF _Toc187767981 \h</w:instrText>
            </w:r>
            <w:r>
              <w:rPr>
                <w:webHidden/>
              </w:rPr>
              <w:fldChar w:fldCharType="separate"/>
            </w:r>
            <w:r>
              <w:rPr>
                <w:rStyle w:val="Style19"/>
                <w:vanish w:val="false"/>
              </w:rPr>
              <w:tab/>
              <w:t>57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82">
            <w:r>
              <w:rPr>
                <w:webHidden/>
                <w:rStyle w:val="Style19"/>
                <w:vanish w:val="false"/>
              </w:rPr>
              <w:t>7.1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Пояснения к Проекту договора</w:t>
            </w:r>
            <w:r>
              <w:rPr>
                <w:webHidden/>
              </w:rPr>
              <w:fldChar w:fldCharType="begin"/>
            </w:r>
            <w:r>
              <w:rPr>
                <w:webHidden/>
              </w:rPr>
              <w:instrText xml:space="preserve">PAGEREF _Toc187767982 \h</w:instrText>
            </w:r>
            <w:r>
              <w:rPr>
                <w:webHidden/>
              </w:rPr>
              <w:fldChar w:fldCharType="separate"/>
            </w:r>
            <w:r>
              <w:rPr>
                <w:rStyle w:val="Style19"/>
                <w:vanish w:val="false"/>
              </w:rPr>
              <w:tab/>
              <w:t>57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83">
            <w:r>
              <w:rPr>
                <w:webHidden/>
                <w:rStyle w:val="Style19"/>
                <w:vanish w:val="false"/>
              </w:rPr>
              <w:t>8.</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3 – Требования к Участникам</w:t>
            </w:r>
            <w:r>
              <w:rPr>
                <w:webHidden/>
              </w:rPr>
              <w:fldChar w:fldCharType="begin"/>
            </w:r>
            <w:r>
              <w:rPr>
                <w:webHidden/>
              </w:rPr>
              <w:instrText xml:space="preserve">PAGEREF _Toc187767983 \h</w:instrText>
            </w:r>
            <w:r>
              <w:rPr>
                <w:webHidden/>
              </w:rPr>
              <w:fldChar w:fldCharType="separate"/>
            </w:r>
            <w:r>
              <w:rPr>
                <w:rStyle w:val="Style19"/>
                <w:vanish w:val="false"/>
              </w:rPr>
              <w:tab/>
              <w:t>58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84">
            <w:r>
              <w:rPr>
                <w:webHidden/>
                <w:rStyle w:val="Style19"/>
                <w:vanish w:val="false"/>
              </w:rPr>
              <w:t>8.1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Пояснения к требованиям к Участникам</w:t>
            </w:r>
            <w:r>
              <w:rPr>
                <w:webHidden/>
              </w:rPr>
              <w:fldChar w:fldCharType="begin"/>
            </w:r>
            <w:r>
              <w:rPr>
                <w:webHidden/>
              </w:rPr>
              <w:instrText xml:space="preserve">PAGEREF _Toc187767984 \h</w:instrText>
            </w:r>
            <w:r>
              <w:rPr>
                <w:webHidden/>
              </w:rPr>
              <w:fldChar w:fldCharType="separate"/>
            </w:r>
            <w:r>
              <w:rPr>
                <w:rStyle w:val="Style19"/>
                <w:vanish w:val="false"/>
              </w:rPr>
              <w:tab/>
              <w:t>58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85">
            <w:r>
              <w:rPr>
                <w:webHidden/>
                <w:rStyle w:val="Style19"/>
                <w:vanish w:val="false"/>
              </w:rPr>
              <w:t>8.2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Обязательные требования</w:t>
            </w:r>
            <w:r>
              <w:rPr>
                <w:webHidden/>
              </w:rPr>
              <w:fldChar w:fldCharType="begin"/>
            </w:r>
            <w:r>
              <w:rPr>
                <w:webHidden/>
              </w:rPr>
              <w:instrText xml:space="preserve">PAGEREF _Toc187767985 \h</w:instrText>
            </w:r>
            <w:r>
              <w:rPr>
                <w:webHidden/>
              </w:rPr>
              <w:fldChar w:fldCharType="separate"/>
            </w:r>
            <w:r>
              <w:rPr>
                <w:rStyle w:val="Style19"/>
                <w:vanish w:val="false"/>
              </w:rPr>
              <w:tab/>
              <w:t>58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86">
            <w:r>
              <w:rPr>
                <w:webHidden/>
                <w:rStyle w:val="Style19"/>
                <w:vanish w:val="false"/>
              </w:rPr>
              <w:t>8.3</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Специальные требования</w:t>
            </w:r>
            <w:r>
              <w:rPr>
                <w:webHidden/>
              </w:rPr>
              <w:fldChar w:fldCharType="begin"/>
            </w:r>
            <w:r>
              <w:rPr>
                <w:webHidden/>
              </w:rPr>
              <w:instrText xml:space="preserve">PAGEREF _Toc187767986 \h</w:instrText>
            </w:r>
            <w:r>
              <w:rPr>
                <w:webHidden/>
              </w:rPr>
              <w:fldChar w:fldCharType="separate"/>
            </w:r>
            <w:r>
              <w:rPr>
                <w:rStyle w:val="Style19"/>
                <w:vanish w:val="false"/>
              </w:rPr>
              <w:tab/>
              <w:t>61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87">
            <w:r>
              <w:rPr>
                <w:webHidden/>
                <w:rStyle w:val="Style19"/>
                <w:vanish w:val="false"/>
              </w:rPr>
              <w:t>8.4</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Квалификационные требования</w:t>
            </w:r>
            <w:r>
              <w:rPr>
                <w:webHidden/>
              </w:rPr>
              <w:fldChar w:fldCharType="begin"/>
            </w:r>
            <w:r>
              <w:rPr>
                <w:webHidden/>
              </w:rPr>
              <w:instrText xml:space="preserve">PAGEREF _Toc187767987 \h</w:instrText>
            </w:r>
            <w:r>
              <w:rPr>
                <w:webHidden/>
              </w:rPr>
              <w:fldChar w:fldCharType="separate"/>
            </w:r>
            <w:r>
              <w:rPr>
                <w:rStyle w:val="Style19"/>
                <w:vanish w:val="false"/>
              </w:rPr>
              <w:tab/>
              <w:t>62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88">
            <w:r>
              <w:rPr>
                <w:webHidden/>
                <w:rStyle w:val="Style19"/>
                <w:vanish w:val="false"/>
              </w:rPr>
              <w:t>8.5</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Дополнительные требования к Коллективным участникам</w:t>
            </w:r>
            <w:r>
              <w:rPr>
                <w:webHidden/>
              </w:rPr>
              <w:fldChar w:fldCharType="begin"/>
            </w:r>
            <w:r>
              <w:rPr>
                <w:webHidden/>
              </w:rPr>
              <w:instrText xml:space="preserve">PAGEREF _Toc187767988 \h</w:instrText>
            </w:r>
            <w:r>
              <w:rPr>
                <w:webHidden/>
              </w:rPr>
              <w:fldChar w:fldCharType="separate"/>
            </w:r>
            <w:r>
              <w:rPr>
                <w:rStyle w:val="Style19"/>
                <w:vanish w:val="false"/>
              </w:rPr>
              <w:tab/>
              <w:t>63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89">
            <w:r>
              <w:rPr>
                <w:webHidden/>
                <w:rStyle w:val="Style19"/>
                <w:vanish w:val="false"/>
              </w:rPr>
              <w:t>8.6</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Дополнительные требования к Генеральным подрядчикам</w:t>
            </w:r>
            <w:r>
              <w:rPr>
                <w:webHidden/>
              </w:rPr>
              <w:fldChar w:fldCharType="begin"/>
            </w:r>
            <w:r>
              <w:rPr>
                <w:webHidden/>
              </w:rPr>
              <w:instrText xml:space="preserve">PAGEREF _Toc187767989 \h</w:instrText>
            </w:r>
            <w:r>
              <w:rPr>
                <w:webHidden/>
              </w:rPr>
              <w:fldChar w:fldCharType="separate"/>
            </w:r>
            <w:r>
              <w:rPr>
                <w:rStyle w:val="Style19"/>
                <w:vanish w:val="false"/>
              </w:rPr>
              <w:tab/>
              <w:t>64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90">
            <w:r>
              <w:rPr>
                <w:webHidden/>
                <w:rStyle w:val="Style19"/>
                <w:vanish w:val="false"/>
              </w:rPr>
              <w:t>9.</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4 – Образцы форм документов, включаемых в состав заявки</w:t>
            </w:r>
            <w:r>
              <w:rPr>
                <w:webHidden/>
              </w:rPr>
              <w:fldChar w:fldCharType="begin"/>
            </w:r>
            <w:r>
              <w:rPr>
                <w:webHidden/>
              </w:rPr>
              <w:instrText xml:space="preserve">PAGEREF _Toc187767990 \h</w:instrText>
            </w:r>
            <w:r>
              <w:rPr>
                <w:webHidden/>
              </w:rPr>
              <w:fldChar w:fldCharType="separate"/>
            </w:r>
            <w:r>
              <w:rPr>
                <w:rStyle w:val="Style19"/>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91">
            <w:r>
              <w:rPr>
                <w:webHidden/>
                <w:rStyle w:val="Style19"/>
                <w:vanish w:val="false"/>
              </w:rPr>
              <w:t>9.1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Пояснения к Образцам форм документов, включаемых в состав заявки</w:t>
            </w:r>
            <w:r>
              <w:rPr>
                <w:webHidden/>
              </w:rPr>
              <w:fldChar w:fldCharType="begin"/>
            </w:r>
            <w:r>
              <w:rPr>
                <w:webHidden/>
              </w:rPr>
              <w:instrText xml:space="preserve">PAGEREF _Toc187767991 \h</w:instrText>
            </w:r>
            <w:r>
              <w:rPr>
                <w:webHidden/>
              </w:rPr>
              <w:fldChar w:fldCharType="separate"/>
            </w:r>
            <w:r>
              <w:rPr>
                <w:rStyle w:val="Style19"/>
                <w:vanish w:val="false"/>
              </w:rPr>
              <w:tab/>
              <w:t>66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92">
            <w:r>
              <w:rPr>
                <w:webHidden/>
                <w:rStyle w:val="Style19"/>
                <w:vanish w:val="false"/>
              </w:rPr>
              <w:t>10.</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5 – Образцы форм документов, предоставляемых Победителем</w:t>
            </w:r>
            <w:r>
              <w:rPr>
                <w:webHidden/>
              </w:rPr>
              <w:fldChar w:fldCharType="begin"/>
            </w:r>
            <w:r>
              <w:rPr>
                <w:webHidden/>
              </w:rPr>
              <w:instrText xml:space="preserve">PAGEREF _Toc187767992 \h</w:instrText>
            </w:r>
            <w:r>
              <w:rPr>
                <w:webHidden/>
              </w:rPr>
              <w:fldChar w:fldCharType="separate"/>
            </w:r>
            <w:r>
              <w:rPr>
                <w:rStyle w:val="Style19"/>
                <w:vanish w:val="false"/>
              </w:rPr>
              <w:tab/>
              <w:t>67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93">
            <w:r>
              <w:rPr>
                <w:webHidden/>
                <w:rStyle w:val="Style19"/>
                <w:vanish w:val="false"/>
              </w:rPr>
              <w:t>10.1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Пояснения к Образцам форм документов, предоставляемых Победителем</w:t>
            </w:r>
            <w:r>
              <w:rPr>
                <w:webHidden/>
              </w:rPr>
              <w:fldChar w:fldCharType="begin"/>
            </w:r>
            <w:r>
              <w:rPr>
                <w:webHidden/>
              </w:rPr>
              <w:instrText xml:space="preserve">PAGEREF _Toc187767993 \h</w:instrText>
            </w:r>
            <w:r>
              <w:rPr>
                <w:webHidden/>
              </w:rPr>
              <w:fldChar w:fldCharType="separate"/>
            </w:r>
            <w:r>
              <w:rPr>
                <w:rStyle w:val="Style19"/>
                <w:vanish w:val="false"/>
              </w:rPr>
              <w:tab/>
              <w:t>67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94">
            <w:r>
              <w:rPr>
                <w:webHidden/>
                <w:rStyle w:val="Style19"/>
                <w:vanish w:val="false"/>
              </w:rPr>
              <w:t>10.2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_Toc187767994 \h</w:instrText>
            </w:r>
            <w:r>
              <w:rPr>
                <w:webHidden/>
              </w:rPr>
              <w:fldChar w:fldCharType="separate"/>
            </w:r>
            <w:r>
              <w:rPr>
                <w:rStyle w:val="Style19"/>
                <w:vanish w:val="false"/>
              </w:rPr>
              <w:tab/>
              <w:t>67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95">
            <w:r>
              <w:rPr>
                <w:webHidden/>
                <w:rStyle w:val="Style19"/>
                <w:vanish w:val="false"/>
              </w:rPr>
              <w:t>10.3</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Форма «Заверение об обстоятельствах»</w:t>
            </w:r>
            <w:r>
              <w:rPr>
                <w:webHidden/>
              </w:rPr>
              <w:fldChar w:fldCharType="begin"/>
            </w:r>
            <w:r>
              <w:rPr>
                <w:webHidden/>
              </w:rPr>
              <w:instrText xml:space="preserve">PAGEREF _Toc187767995 \h</w:instrText>
            </w:r>
            <w:r>
              <w:rPr>
                <w:webHidden/>
              </w:rPr>
              <w:fldChar w:fldCharType="separate"/>
            </w:r>
            <w:r>
              <w:rPr>
                <w:rStyle w:val="Style19"/>
                <w:vanish w:val="false"/>
              </w:rPr>
              <w:tab/>
              <w:t>67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96">
            <w:r>
              <w:rPr>
                <w:webHidden/>
                <w:rStyle w:val="Style19"/>
                <w:vanish w:val="false"/>
              </w:rPr>
              <w:t>11.</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6 – Состав заявки</w:t>
            </w:r>
            <w:r>
              <w:rPr>
                <w:webHidden/>
              </w:rPr>
              <w:fldChar w:fldCharType="begin"/>
            </w:r>
            <w:r>
              <w:rPr>
                <w:webHidden/>
              </w:rPr>
              <w:instrText xml:space="preserve">PAGEREF _Toc187767996 \h</w:instrText>
            </w:r>
            <w:r>
              <w:rPr>
                <w:webHidden/>
              </w:rPr>
              <w:fldChar w:fldCharType="separate"/>
            </w:r>
            <w:r>
              <w:rPr>
                <w:rStyle w:val="Style19"/>
                <w:vanish w:val="false"/>
              </w:rPr>
              <w:tab/>
              <w:t>69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97">
            <w:r>
              <w:rPr>
                <w:webHidden/>
                <w:rStyle w:val="Style19"/>
                <w:vanish w:val="false"/>
              </w:rPr>
              <w:t>11.1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Состав заявки</w:t>
            </w:r>
            <w:r>
              <w:rPr>
                <w:webHidden/>
              </w:rPr>
              <w:fldChar w:fldCharType="begin"/>
            </w:r>
            <w:r>
              <w:rPr>
                <w:webHidden/>
              </w:rPr>
              <w:instrText xml:space="preserve">PAGEREF _Toc187767997 \h</w:instrText>
            </w:r>
            <w:r>
              <w:rPr>
                <w:webHidden/>
              </w:rPr>
              <w:fldChar w:fldCharType="separate"/>
            </w:r>
            <w:r>
              <w:rPr>
                <w:rStyle w:val="Style19"/>
                <w:vanish w:val="false"/>
              </w:rPr>
              <w:tab/>
              <w:t>69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7998">
            <w:r>
              <w:rPr>
                <w:webHidden/>
                <w:rStyle w:val="Style19"/>
                <w:vanish w:val="false"/>
              </w:rPr>
              <w:t>12.</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7 – Отборочные критерии рассмотрения заявок</w:t>
            </w:r>
            <w:r>
              <w:rPr>
                <w:webHidden/>
              </w:rPr>
              <w:fldChar w:fldCharType="begin"/>
            </w:r>
            <w:r>
              <w:rPr>
                <w:webHidden/>
              </w:rPr>
              <w:instrText xml:space="preserve">PAGEREF _Toc187767998 \h</w:instrText>
            </w:r>
            <w:r>
              <w:rPr>
                <w:webHidden/>
              </w:rPr>
              <w:fldChar w:fldCharType="separate"/>
            </w:r>
            <w:r>
              <w:rPr>
                <w:rStyle w:val="Style19"/>
                <w:vanish w:val="false"/>
              </w:rPr>
              <w:tab/>
              <w:t>72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7999">
            <w:r>
              <w:rPr>
                <w:webHidden/>
                <w:rStyle w:val="Style19"/>
                <w:vanish w:val="false"/>
              </w:rPr>
              <w:t>12.1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Отборочные критерии рассмотрения заявок</w:t>
            </w:r>
            <w:r>
              <w:rPr>
                <w:webHidden/>
              </w:rPr>
              <w:fldChar w:fldCharType="begin"/>
            </w:r>
            <w:r>
              <w:rPr>
                <w:webHidden/>
              </w:rPr>
              <w:instrText xml:space="preserve">PAGEREF _Toc187767999 \h</w:instrText>
            </w:r>
            <w:r>
              <w:rPr>
                <w:webHidden/>
              </w:rPr>
              <w:fldChar w:fldCharType="separate"/>
            </w:r>
            <w:r>
              <w:rPr>
                <w:rStyle w:val="Style19"/>
                <w:vanish w:val="false"/>
              </w:rPr>
              <w:tab/>
              <w:t>72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8000">
            <w:r>
              <w:rPr>
                <w:webHidden/>
                <w:rStyle w:val="Style19"/>
                <w:vanish w:val="false"/>
              </w:rPr>
              <w:t>12.2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_Toc187768000 \h</w:instrText>
            </w:r>
            <w:r>
              <w:rPr>
                <w:webHidden/>
              </w:rPr>
              <w:fldChar w:fldCharType="separate"/>
            </w:r>
            <w:r>
              <w:rPr>
                <w:rStyle w:val="Style19"/>
                <w:vanish w:val="false"/>
              </w:rPr>
              <w:tab/>
              <w:t>76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8001">
            <w:r>
              <w:rPr>
                <w:webHidden/>
                <w:rStyle w:val="Style19"/>
                <w:vanish w:val="false"/>
              </w:rPr>
              <w:t>13.</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8 – Порядок и критерии оценки и сопоставления заявок</w:t>
            </w:r>
            <w:r>
              <w:rPr>
                <w:webHidden/>
              </w:rPr>
              <w:fldChar w:fldCharType="begin"/>
            </w:r>
            <w:r>
              <w:rPr>
                <w:webHidden/>
              </w:rPr>
              <w:instrText xml:space="preserve">PAGEREF _Toc187768001 \h</w:instrText>
            </w:r>
            <w:r>
              <w:rPr>
                <w:webHidden/>
              </w:rPr>
              <w:fldChar w:fldCharType="separate"/>
            </w:r>
            <w:r>
              <w:rPr>
                <w:rStyle w:val="Style19"/>
                <w:vanish w:val="false"/>
              </w:rPr>
              <w:tab/>
              <w:t>78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8002">
            <w:r>
              <w:rPr>
                <w:webHidden/>
                <w:rStyle w:val="Style19"/>
                <w:vanish w:val="false"/>
              </w:rPr>
              <w:t>13.1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Порядок и критерии оценки и сопоставления заявок</w:t>
            </w:r>
            <w:r>
              <w:rPr>
                <w:webHidden/>
              </w:rPr>
              <w:fldChar w:fldCharType="begin"/>
            </w:r>
            <w:r>
              <w:rPr>
                <w:webHidden/>
              </w:rPr>
              <w:instrText xml:space="preserve">PAGEREF _Toc187768002 \h</w:instrText>
            </w:r>
            <w:r>
              <w:rPr>
                <w:webHidden/>
              </w:rPr>
              <w:fldChar w:fldCharType="separate"/>
            </w:r>
            <w:r>
              <w:rPr>
                <w:rStyle w:val="Style19"/>
                <w:vanish w:val="false"/>
              </w:rPr>
              <w:tab/>
              <w:t>78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8003">
            <w:r>
              <w:rPr>
                <w:webHidden/>
                <w:rStyle w:val="Style19"/>
                <w:vanish w:val="false"/>
              </w:rPr>
              <w:t>13.2</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Порядок и критерии оценки и сопоставления заявок</w:t>
            </w:r>
            <w:r>
              <w:rPr>
                <w:webHidden/>
              </w:rPr>
              <w:fldChar w:fldCharType="begin"/>
            </w:r>
            <w:r>
              <w:rPr>
                <w:webHidden/>
              </w:rPr>
              <w:instrText xml:space="preserve">PAGEREF _Toc187768003 \h</w:instrText>
            </w:r>
            <w:r>
              <w:rPr>
                <w:webHidden/>
              </w:rPr>
              <w:fldChar w:fldCharType="separate"/>
            </w:r>
            <w:r>
              <w:rPr>
                <w:rStyle w:val="Style19"/>
                <w:vanish w:val="false"/>
              </w:rPr>
              <w:tab/>
              <w:t>82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8004">
            <w:r>
              <w:rPr>
                <w:webHidden/>
                <w:rStyle w:val="Style19"/>
                <w:vanish w:val="false"/>
              </w:rPr>
              <w:t>14.</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9 – Обоснование НМЦ</w:t>
            </w:r>
            <w:r>
              <w:rPr>
                <w:webHidden/>
              </w:rPr>
              <w:fldChar w:fldCharType="begin"/>
            </w:r>
            <w:r>
              <w:rPr>
                <w:webHidden/>
              </w:rPr>
              <w:instrText xml:space="preserve">PAGEREF _Toc187768004 \h</w:instrText>
            </w:r>
            <w:r>
              <w:rPr>
                <w:webHidden/>
              </w:rPr>
              <w:fldChar w:fldCharType="separate"/>
            </w:r>
            <w:r>
              <w:rPr>
                <w:rStyle w:val="Style19"/>
                <w:vanish w:val="false"/>
              </w:rPr>
              <w:tab/>
              <w:t>84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8005">
            <w:r>
              <w:rPr>
                <w:webHidden/>
                <w:rStyle w:val="Style19"/>
                <w:vanish w:val="false"/>
              </w:rPr>
              <w:t>14.1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Пояснения к Обоснованию НМЦ</w:t>
            </w:r>
            <w:r>
              <w:rPr>
                <w:webHidden/>
              </w:rPr>
              <w:fldChar w:fldCharType="begin"/>
            </w:r>
            <w:r>
              <w:rPr>
                <w:webHidden/>
              </w:rPr>
              <w:instrText xml:space="preserve">PAGEREF _Toc187768005 \h</w:instrText>
            </w:r>
            <w:r>
              <w:rPr>
                <w:webHidden/>
              </w:rPr>
              <w:fldChar w:fldCharType="separate"/>
            </w:r>
            <w:r>
              <w:rPr>
                <w:rStyle w:val="Style19"/>
                <w:vanish w:val="false"/>
              </w:rPr>
              <w:tab/>
              <w:t>84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187768006">
            <w:r>
              <w:rPr>
                <w:webHidden/>
                <w:rStyle w:val="Style19"/>
                <w:vanish w:val="false"/>
              </w:rPr>
              <w:t>15.</w:t>
            </w:r>
            <w:r>
              <w:rPr>
                <w:rStyle w:val="Style19"/>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19"/>
              </w:rPr>
              <w:t>Приложение № 10 – Форма Заявки на аккредитацию</w:t>
            </w:r>
            <w:r>
              <w:rPr>
                <w:webHidden/>
              </w:rPr>
              <w:fldChar w:fldCharType="begin"/>
            </w:r>
            <w:r>
              <w:rPr>
                <w:webHidden/>
              </w:rPr>
              <w:instrText xml:space="preserve">PAGEREF _Toc187768006 \h</w:instrText>
            </w:r>
            <w:r>
              <w:rPr>
                <w:webHidden/>
              </w:rPr>
              <w:fldChar w:fldCharType="separate"/>
            </w:r>
            <w:r>
              <w:rPr>
                <w:rStyle w:val="Style19"/>
                <w:vanish w:val="false"/>
              </w:rPr>
              <w:tab/>
              <w:t>85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187768007">
            <w:r>
              <w:rPr>
                <w:webHidden/>
                <w:rStyle w:val="Style19"/>
                <w:vanish w:val="false"/>
              </w:rPr>
              <w:t>15.1</w:t>
            </w:r>
            <w:r>
              <w:rPr>
                <w:rStyle w:val="Style19"/>
                <w:rFonts w:eastAsia="" w:ascii="Calibri" w:hAnsi="Calibri" w:asciiTheme="minorHAnsi" w:eastAsiaTheme="minorEastAsia" w:hAnsiTheme="minorHAnsi"/>
                <w:kern w:val="2"/>
                <w:sz w:val="24"/>
                <w:szCs w:val="24"/>
                <w:lang w:eastAsia="ru-RU"/>
                <w14:ligatures w14:val="standardContextual"/>
              </w:rPr>
              <w:tab/>
            </w:r>
            <w:r>
              <w:rPr>
                <w:rStyle w:val="Style19"/>
              </w:rPr>
              <w:t>Пояснения к форме Заявки на аккредитацию</w:t>
            </w:r>
            <w:r>
              <w:rPr>
                <w:webHidden/>
              </w:rPr>
              <w:fldChar w:fldCharType="begin"/>
            </w:r>
            <w:r>
              <w:rPr>
                <w:webHidden/>
              </w:rPr>
              <w:instrText xml:space="preserve">PAGEREF _Toc187768007 \h</w:instrText>
            </w:r>
            <w:r>
              <w:rPr>
                <w:webHidden/>
              </w:rPr>
              <w:fldChar w:fldCharType="separate"/>
            </w:r>
            <w:r>
              <w:rPr>
                <w:rStyle w:val="Style19"/>
                <w:vanish w:val="false"/>
              </w:rPr>
              <w:tab/>
              <w:t>85</w:t>
            </w:r>
            <w:r>
              <w:rPr>
                <w:webHidden/>
              </w:rPr>
              <w:fldChar w:fldCharType="end"/>
            </w:r>
          </w:hyperlink>
          <w:r>
            <w:rPr>
              <w:rStyle w:val="Style19"/>
              <w:vanish w:val="false"/>
            </w:rPr>
            <w:fldChar w:fldCharType="end"/>
          </w:r>
        </w:p>
      </w:sdtContent>
    </w:sdt>
    <w:p>
      <w:pPr>
        <w:pStyle w:val="Style29"/>
        <w:jc w:val="both"/>
        <w:rPr/>
      </w:pPr>
      <w:r>
        <w:rPr/>
      </w:r>
    </w:p>
    <w:p>
      <w:pPr>
        <w:pStyle w:val="Style29"/>
        <w:keepNext w:val="true"/>
        <w:spacing w:before="60" w:after="0"/>
        <w:rPr>
          <w:rStyle w:val="Style17"/>
        </w:rPr>
      </w:pPr>
      <w:r>
        <w:rPr/>
      </w:r>
    </w:p>
    <w:p>
      <w:pPr>
        <w:pStyle w:val="Style28"/>
        <w:numPr>
          <w:ilvl w:val="0"/>
          <w:numId w:val="0"/>
        </w:numPr>
        <w:ind w:left="0" w:hanging="0"/>
        <w:outlineLvl w:val="0"/>
        <w:rPr/>
      </w:pPr>
      <w:bookmarkStart w:id="1" w:name="_Toc187767939"/>
      <w:r>
        <w:rPr/>
        <w:t>Сокращения</w:t>
      </w:r>
      <w:bookmarkEnd w:id="1"/>
    </w:p>
    <w:p>
      <w:pPr>
        <w:pStyle w:val="Style29"/>
        <w:ind w:firstLine="567"/>
        <w:rPr/>
      </w:pPr>
      <w:r>
        <w:rPr>
          <w:b/>
          <w:bCs/>
        </w:rPr>
        <w:t>ГК РФ</w:t>
      </w:r>
      <w:r>
        <w:rPr/>
        <w:t xml:space="preserve"> – Гражданской кодекс Российской Федерации.</w:t>
      </w:r>
    </w:p>
    <w:p>
      <w:pPr>
        <w:pStyle w:val="Style29"/>
        <w:ind w:firstLine="567"/>
        <w:rPr/>
      </w:pPr>
      <w:r>
        <w:rPr>
          <w:b/>
          <w:bCs/>
        </w:rPr>
        <w:t>ЕГРИП</w:t>
      </w:r>
      <w:r>
        <w:rPr/>
        <w:t xml:space="preserve"> – Единый государственный реестр индивидуальных предпринимателей.</w:t>
      </w:r>
    </w:p>
    <w:p>
      <w:pPr>
        <w:pStyle w:val="Style29"/>
        <w:ind w:firstLine="567"/>
        <w:rPr/>
      </w:pPr>
      <w:r>
        <w:rPr>
          <w:b/>
          <w:bCs/>
        </w:rPr>
        <w:t>ЕГРЮЛ</w:t>
      </w:r>
      <w:r>
        <w:rPr/>
        <w:t xml:space="preserve"> – Единый государственный реестр юридических лиц.</w:t>
      </w:r>
    </w:p>
    <w:p>
      <w:pPr>
        <w:pStyle w:val="Style29"/>
        <w:ind w:firstLine="567"/>
        <w:rPr/>
      </w:pPr>
      <w:r>
        <w:rPr>
          <w:b/>
          <w:bCs/>
        </w:rPr>
        <w:t>ЕИС</w:t>
      </w:r>
      <w:r>
        <w:rPr/>
        <w:t xml:space="preserve"> – Единая информационная система в сфере закупок.</w:t>
      </w:r>
    </w:p>
    <w:p>
      <w:pPr>
        <w:pStyle w:val="Style29"/>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9"/>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9"/>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9"/>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9"/>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9"/>
        <w:ind w:firstLine="567"/>
        <w:rPr/>
      </w:pPr>
      <w:r>
        <w:rPr>
          <w:b/>
          <w:bCs/>
        </w:rPr>
        <w:t>Извещение</w:t>
      </w:r>
      <w:r>
        <w:rPr/>
        <w:t xml:space="preserve"> – извещение о проведении настоящей закупки.</w:t>
      </w:r>
    </w:p>
    <w:p>
      <w:pPr>
        <w:pStyle w:val="Style29"/>
        <w:ind w:firstLine="567"/>
        <w:rPr/>
      </w:pPr>
      <w:r>
        <w:rPr>
          <w:b/>
          <w:bCs/>
        </w:rPr>
        <w:t>ИНН</w:t>
      </w:r>
      <w:r>
        <w:rPr/>
        <w:t xml:space="preserve"> – идентификационный номер налогоплательщика.</w:t>
      </w:r>
    </w:p>
    <w:p>
      <w:pPr>
        <w:pStyle w:val="Style29"/>
        <w:ind w:firstLine="567"/>
        <w:rPr/>
      </w:pPr>
      <w:r>
        <w:rPr>
          <w:b/>
          <w:bCs/>
        </w:rPr>
        <w:t>ИФНС</w:t>
      </w:r>
      <w:r>
        <w:rPr/>
        <w:t xml:space="preserve"> – инспекция Федеральной налоговой службы Российской Федерации.</w:t>
      </w:r>
    </w:p>
    <w:p>
      <w:pPr>
        <w:pStyle w:val="Style29"/>
        <w:ind w:firstLine="567"/>
        <w:rPr/>
      </w:pPr>
      <w:r>
        <w:rPr>
          <w:b/>
          <w:bCs/>
        </w:rPr>
        <w:t>МТР</w:t>
      </w:r>
      <w:r>
        <w:rPr/>
        <w:t xml:space="preserve"> – материально-технические ресурсы.</w:t>
      </w:r>
    </w:p>
    <w:p>
      <w:pPr>
        <w:pStyle w:val="Style29"/>
        <w:ind w:firstLine="567"/>
        <w:rPr/>
      </w:pPr>
      <w:r>
        <w:rPr>
          <w:b/>
          <w:bCs/>
        </w:rPr>
        <w:t>НДС</w:t>
      </w:r>
      <w:r>
        <w:rPr/>
        <w:t xml:space="preserve"> – налог на добавленную стоимость.</w:t>
      </w:r>
    </w:p>
    <w:p>
      <w:pPr>
        <w:pStyle w:val="Style29"/>
        <w:ind w:firstLine="567"/>
        <w:rPr/>
      </w:pPr>
      <w:r>
        <w:rPr>
          <w:b/>
          <w:bCs/>
        </w:rPr>
        <w:t>НМЦ</w:t>
      </w:r>
      <w:r>
        <w:rPr/>
        <w:t xml:space="preserve"> – начальная (максимальная) цена договора.</w:t>
      </w:r>
    </w:p>
    <w:p>
      <w:pPr>
        <w:pStyle w:val="Style29"/>
        <w:ind w:firstLine="567"/>
        <w:rPr/>
      </w:pPr>
      <w:r>
        <w:rPr>
          <w:b/>
          <w:bCs/>
        </w:rPr>
        <w:t>Оператор ЭП</w:t>
      </w:r>
      <w:r>
        <w:rPr/>
        <w:t xml:space="preserve"> – оператор электронной площадки.</w:t>
      </w:r>
    </w:p>
    <w:p>
      <w:pPr>
        <w:pStyle w:val="Style29"/>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9"/>
        <w:ind w:firstLine="567"/>
        <w:rPr/>
      </w:pPr>
      <w:r>
        <w:rPr>
          <w:b/>
          <w:bCs/>
        </w:rPr>
        <w:t>Положение о закупке</w:t>
      </w:r>
      <w:r>
        <w:rPr/>
        <w:t xml:space="preserve"> – Единое Положение о закупке продукции для нужд Группы РусГидро.</w:t>
      </w:r>
    </w:p>
    <w:p>
      <w:pPr>
        <w:pStyle w:val="Style29"/>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9"/>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9"/>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9"/>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9"/>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9"/>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29"/>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9"/>
        <w:ind w:firstLine="567"/>
        <w:rPr/>
      </w:pPr>
      <w:r>
        <w:rPr>
          <w:b/>
          <w:bCs/>
        </w:rPr>
        <w:t>Субъект МСП</w:t>
      </w:r>
      <w:r>
        <w:rPr/>
        <w:t xml:space="preserve"> – субъект малого и среднего предпринимательства.</w:t>
      </w:r>
    </w:p>
    <w:p>
      <w:pPr>
        <w:pStyle w:val="Style29"/>
        <w:ind w:firstLine="567"/>
        <w:rPr/>
      </w:pPr>
      <w:r>
        <w:rPr>
          <w:b/>
          <w:bCs/>
        </w:rPr>
        <w:t>ЭП</w:t>
      </w:r>
      <w:r>
        <w:rPr/>
        <w:t xml:space="preserve"> – электронная площадка.</w:t>
      </w:r>
    </w:p>
    <w:p>
      <w:pPr>
        <w:pStyle w:val="Style28"/>
        <w:numPr>
          <w:ilvl w:val="0"/>
          <w:numId w:val="0"/>
        </w:numPr>
        <w:ind w:left="0" w:hanging="0"/>
        <w:outlineLvl w:val="0"/>
        <w:rPr/>
      </w:pPr>
      <w:bookmarkStart w:id="2" w:name="_Toc187767940"/>
      <w:r>
        <w:rPr/>
        <w:t>Термины и определения</w:t>
      </w:r>
      <w:bookmarkEnd w:id="2"/>
    </w:p>
    <w:p>
      <w:pPr>
        <w:pStyle w:val="Style29"/>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9"/>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9"/>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29"/>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9"/>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9"/>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9"/>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9"/>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9"/>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9"/>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9"/>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9"/>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9"/>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9"/>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9"/>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9"/>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9"/>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9"/>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9"/>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9"/>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9"/>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9"/>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29"/>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9"/>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9"/>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29"/>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9"/>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9"/>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9"/>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9"/>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9"/>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29"/>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9"/>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3"/>
        <w:rPr/>
      </w:pPr>
      <w:bookmarkStart w:id="3" w:name="_Toc187767941"/>
      <w:bookmarkStart w:id="4" w:name="_Ref125359988"/>
      <w:r>
        <w:rPr/>
        <w:t>Основные сведения о закупке</w:t>
      </w:r>
      <w:bookmarkEnd w:id="3"/>
      <w:bookmarkEnd w:id="4"/>
    </w:p>
    <w:p>
      <w:pPr>
        <w:pStyle w:val="Style24"/>
        <w:rPr/>
      </w:pPr>
      <w:bookmarkStart w:id="5" w:name="_Toc187767942"/>
      <w:r>
        <w:rPr/>
        <w:t>Статус настоящего раздела</w:t>
      </w:r>
      <w:bookmarkEnd w:id="5"/>
    </w:p>
    <w:p>
      <w:pPr>
        <w:pStyle w:val="Style25"/>
        <w:rPr/>
      </w:pPr>
      <w:r>
        <w:rPr/>
        <w:t>В настоящем разделе содержатся основные сведения о предмете, способе и иных ключевых условиях проводимой закупки.</w:t>
      </w:r>
    </w:p>
    <w:p>
      <w:pPr>
        <w:pStyle w:val="Style25"/>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5"/>
        <w:rPr/>
      </w:pPr>
      <w:bookmarkStart w:id="6"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6"/>
    </w:p>
    <w:p>
      <w:pPr>
        <w:pStyle w:val="Style24"/>
        <w:spacing w:before="360" w:after="120"/>
        <w:rPr/>
      </w:pPr>
      <w:bookmarkStart w:id="7" w:name="_Toc187767943"/>
      <w:bookmarkStart w:id="8" w:name="_Ref127270076"/>
      <w:bookmarkStart w:id="9" w:name="_Ref125359973"/>
      <w:r>
        <w:rPr/>
        <w:t>Информация о проводимой закупке</w:t>
      </w:r>
      <w:bookmarkEnd w:id="7"/>
      <w:bookmarkEnd w:id="8"/>
      <w:bookmarkEnd w:id="9"/>
    </w:p>
    <w:tbl>
      <w:tblPr>
        <w:tblStyle w:val="af4"/>
        <w:tblW w:w="9754"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843"/>
        <w:gridCol w:w="3235"/>
        <w:gridCol w:w="5676"/>
      </w:tblGrid>
      <w:tr>
        <w:trPr>
          <w:cnfStyle w:val="100000000000" w:firstRow="1" w:lastRow="0" w:firstColumn="0" w:lastColumn="0" w:oddVBand="0" w:evenVBand="0" w:oddHBand="0" w:evenHBand="0" w:firstRowFirstColumn="0" w:firstRowLastColumn="0" w:lastRowFirstColumn="0" w:lastRowLastColumn="0"/>
        </w:trPr>
        <w:tc>
          <w:tcPr>
            <w:tcW w:w="843"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35"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0" w:name="_Ref125360980"/>
            <w:bookmarkStart w:id="11" w:name="_Ref125360980"/>
            <w:bookmarkEnd w:id="1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2" w:name="_Ref125360996"/>
            <w:bookmarkStart w:id="13" w:name="_Ref125360996"/>
            <w:bookmarkEnd w:id="13"/>
          </w:p>
        </w:tc>
        <w:tc>
          <w:tcPr>
            <w:tcW w:w="3235" w:type="dxa"/>
            <w:tcBorders/>
          </w:tcPr>
          <w:p>
            <w:pPr>
              <w:pStyle w:val="Style29"/>
              <w:widowControl w:val="false"/>
              <w:suppressAutoHyphens w:val="true"/>
              <w:spacing w:before="60" w:after="60"/>
              <w:jc w:val="left"/>
              <w:rPr>
                <w:rFonts w:ascii="Times New Roman" w:hAnsi="Times New Roman" w:eastAsia="Calibri" w:cs="" w:cstheme="minorBidi" w:eastAsiaTheme="minorHAnsi"/>
                <w:color w:val="auto"/>
                <w:kern w:val="0"/>
                <w:sz w:val="26"/>
                <w:szCs w:val="22"/>
                <w:lang w:val="ru-RU" w:eastAsia="en-US" w:bidi="ar-SA"/>
              </w:rPr>
            </w:pPr>
            <w:r>
              <w:rPr>
                <w:rFonts w:eastAsia="Calibri" w:cs="" w:cstheme="minorBidi" w:eastAsiaTheme="minorHAnsi"/>
                <w:color w:val="auto"/>
                <w:kern w:val="0"/>
                <w:sz w:val="26"/>
                <w:szCs w:val="22"/>
                <w:lang w:val="ru-RU" w:eastAsia="en-US" w:bidi="ar-SA"/>
              </w:rPr>
              <w:t>Предмет Договора</w:t>
              <w:br/>
              <w:t>(в том числе номер лота):</w:t>
            </w:r>
          </w:p>
        </w:tc>
        <w:tc>
          <w:tcPr>
            <w:tcW w:w="5676" w:type="dxa"/>
            <w:tcBorders/>
          </w:tcPr>
          <w:p>
            <w:pPr>
              <w:pStyle w:val="Style29"/>
              <w:widowControl w:val="false"/>
              <w:suppressAutoHyphens w:val="true"/>
              <w:spacing w:before="60" w:after="60"/>
              <w:rPr>
                <w:rFonts w:ascii="Times New Roman" w:hAnsi="Times New Roman" w:eastAsia="Calibri" w:cs="" w:cstheme="minorBidi" w:eastAsiaTheme="minorHAnsi"/>
                <w:color w:val="auto"/>
                <w:kern w:val="0"/>
                <w:sz w:val="26"/>
                <w:szCs w:val="22"/>
                <w:lang w:val="ru-RU" w:eastAsia="en-US" w:bidi="ar-SA"/>
              </w:rPr>
            </w:pPr>
            <w:r>
              <w:rPr>
                <w:rFonts w:eastAsia="Calibri" w:cs="" w:cstheme="minorBidi" w:eastAsiaTheme="minorHAnsi"/>
                <w:color w:val="auto"/>
                <w:kern w:val="0"/>
                <w:sz w:val="26"/>
                <w:szCs w:val="22"/>
                <w:lang w:val="ru-RU" w:eastAsia="en-US" w:bidi="ar-SA"/>
              </w:rPr>
              <w:t>Лот № 0058-ТПИР ОБСЛ-2026-СОФ «ОКПД2 27.12.32.000 Проектирование, поставка оборудования ОМП волнового типа ВЛ330 и комплекта ПА с функцией АРО СГО Зарамагской ГЭС-1 в рамках инвестиционного проекта 00103-СОФ-2025»</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4" w:name="_Ref135729276"/>
            <w:bookmarkStart w:id="15" w:name="_Ref135729276"/>
            <w:bookmarkEnd w:id="1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6" w:name="_Ref125367124"/>
            <w:bookmarkStart w:id="17" w:name="_Ref125367124"/>
            <w:bookmarkEnd w:id="1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8" w:name="_Ref125360764"/>
            <w:bookmarkStart w:id="19" w:name="_Ref125360764"/>
            <w:bookmarkEnd w:id="1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andard"/>
              <w:widowControl w:val="false"/>
              <w:spacing w:before="60" w:after="60"/>
              <w:jc w:val="left"/>
              <w:rPr>
                <w:kern w:val="0"/>
                <w:sz w:val="26"/>
                <w:szCs w:val="22"/>
                <w:lang w:val="ru-RU" w:eastAsia="en-US" w:bidi="ar-SA"/>
              </w:rPr>
            </w:pPr>
            <w:r>
              <w:rPr>
                <w:kern w:val="0"/>
                <w:sz w:val="26"/>
                <w:szCs w:val="22"/>
                <w:lang w:val="ru-RU" w:eastAsia="en-US" w:bidi="ar-SA"/>
              </w:rPr>
              <w:t xml:space="preserve">Электронная (торговая) площадка: АО «Российский аукционный дом»  </w:t>
            </w:r>
            <w:hyperlink r:id="rId3">
              <w:r>
                <w:rPr>
                  <w:rStyle w:val="Internetlink"/>
                  <w:kern w:val="0"/>
                  <w:sz w:val="26"/>
                  <w:szCs w:val="22"/>
                  <w:lang w:val="ru-RU" w:eastAsia="en-US" w:bidi="ar-SA"/>
                </w:rPr>
                <w:t>https://lot-online.ru/</w:t>
              </w:r>
            </w:hyperlink>
          </w:p>
          <w:p>
            <w:pPr>
              <w:pStyle w:val="Style29"/>
              <w:widowControl w:val="false"/>
              <w:suppressAutoHyphens w:val="true"/>
              <w:spacing w:before="60" w:after="60"/>
              <w:rPr/>
            </w:pPr>
            <w:r>
              <w:rPr>
                <w:rStyle w:val="Internetlink"/>
                <w:rFonts w:eastAsia="Calibri" w:cs=""/>
                <w:color w:val="000000"/>
                <w:kern w:val="0"/>
                <w:sz w:val="26"/>
                <w:szCs w:val="22"/>
                <w:u w:val="none"/>
                <w:lang w:val="ru-RU" w:eastAsia="en-US" w:bidi="ar-SA"/>
              </w:rPr>
              <w:t>Регламент ЭТП, в соответствии с которым проводится закупка, размещен по адресу:</w:t>
            </w:r>
            <w:r>
              <w:rPr>
                <w:rStyle w:val="Internetlink"/>
                <w:rFonts w:eastAsia="Calibri" w:cs=""/>
                <w:kern w:val="0"/>
                <w:sz w:val="26"/>
                <w:szCs w:val="22"/>
                <w:lang w:val="ru-RU" w:eastAsia="en-US" w:bidi="ar-SA"/>
              </w:rPr>
              <w:t xml:space="preserve"> </w:t>
            </w:r>
            <w:hyperlink r:id="rId4">
              <w:r>
                <w:rPr>
                  <w:rStyle w:val="Internetlink"/>
                  <w:rFonts w:eastAsia="Calibri" w:cs=""/>
                  <w:kern w:val="0"/>
                  <w:sz w:val="26"/>
                  <w:szCs w:val="22"/>
                  <w:lang w:val="ru-RU" w:eastAsia="en-US" w:bidi="ar-SA"/>
                </w:rPr>
                <w:t>https://tender.lot-online.ru/app/EtpDocList/page</w:t>
              </w:r>
            </w:hyperlink>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0" w:name="_Ref125360970"/>
            <w:bookmarkStart w:id="21" w:name="_Ref125360970"/>
            <w:bookmarkEnd w:id="2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любые лица, заинтересованные в предмете закупки.</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2" w:name="_Ref125360988"/>
            <w:bookmarkStart w:id="23" w:name="_Ref125360988"/>
            <w:bookmarkEnd w:id="23"/>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(полное):</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Публичное акционерное общество «Федеральная гидрогенерирующая компания РусГидро»</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(сокращенное):</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ПАО «РусГидро»</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нахождения:</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660049, Красноярский Край, г.о. Город Красноярск, г. Красноярск, Ул. Перенсона, Зд. 2А, помещ. 1</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Почтовый адрес:</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660049, Красноярский Край, г.о. Город Красноярск, г. Красноярск, Ул. Перенсона, Зд. 2А, помещ. 1</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Адрес электронной почты: office@rushydro.ru</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Контактный телефон: </w:t>
            </w:r>
            <w:r>
              <w:rPr>
                <w:rStyle w:val="Style11"/>
                <w:rFonts w:eastAsia="Calibri" w:cs=""/>
                <w:i w:val="false"/>
                <w:iCs w:val="false"/>
                <w:kern w:val="0"/>
                <w:sz w:val="26"/>
                <w:szCs w:val="22"/>
                <w:shd w:fill="FFFFFF" w:val="clear"/>
                <w:lang w:val="ru-RU" w:eastAsia="en-US" w:bidi="ar-SA"/>
              </w:rPr>
              <w:t>+7 (495) 225-32-32</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4" w:name="_Ref125360954"/>
            <w:bookmarkStart w:id="25" w:name="_Ref125360954"/>
            <w:bookmarkEnd w:id="2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(полное):</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Филиал ПАО «РусГидро» - «Северо-Осетинский</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w:t>
            </w:r>
            <w:r>
              <w:rPr>
                <w:rFonts w:eastAsia="Calibri" w:cs=""/>
                <w:kern w:val="0"/>
                <w:sz w:val="26"/>
                <w:szCs w:val="22"/>
                <w:lang w:val="ru-RU" w:eastAsia="en-US" w:bidi="ar-SA"/>
              </w:rPr>
              <w:t>филиал»</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(сокращенное):</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Филиал ПАО «РусГидро» - «Северо-Осетинский</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w:t>
            </w:r>
            <w:r>
              <w:rPr>
                <w:rFonts w:eastAsia="Calibri" w:cs=""/>
                <w:kern w:val="0"/>
                <w:sz w:val="26"/>
                <w:szCs w:val="22"/>
                <w:lang w:val="ru-RU" w:eastAsia="en-US" w:bidi="ar-SA"/>
              </w:rPr>
              <w:t>филиал»</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нахождения:</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362049, РСО-Алания, г. Владикавказ,</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w:t>
            </w:r>
            <w:r>
              <w:rPr>
                <w:rFonts w:eastAsia="Calibri" w:cs=""/>
                <w:kern w:val="0"/>
                <w:sz w:val="26"/>
                <w:szCs w:val="22"/>
                <w:lang w:val="ru-RU" w:eastAsia="en-US" w:bidi="ar-SA"/>
              </w:rPr>
              <w:t>ул.В.Абаева, 63</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Почтовый адрес:</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362049, РСО-Алания, г. Владикавказ,</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w:t>
            </w:r>
            <w:r>
              <w:rPr>
                <w:rFonts w:eastAsia="Calibri" w:cs=""/>
                <w:kern w:val="0"/>
                <w:sz w:val="26"/>
                <w:szCs w:val="22"/>
                <w:lang w:val="ru-RU" w:eastAsia="en-US" w:bidi="ar-SA"/>
              </w:rPr>
              <w:t>ул.В.Абаева, 63</w:t>
            </w:r>
          </w:p>
          <w:p>
            <w:pPr>
              <w:pStyle w:val="Style29"/>
              <w:keepNext w:val="true"/>
              <w:widowControl w:val="false"/>
              <w:suppressAutoHyphens w:val="true"/>
              <w:spacing w:before="60" w:after="60"/>
              <w:jc w:val="left"/>
              <w:rPr/>
            </w:pPr>
            <w:r>
              <w:rPr>
                <w:rFonts w:eastAsia="Calibri" w:cs=""/>
                <w:kern w:val="0"/>
                <w:sz w:val="25"/>
                <w:szCs w:val="25"/>
                <w:lang w:val="ru-RU" w:eastAsia="en-US" w:bidi="ar-SA"/>
              </w:rPr>
              <w:t>Адрес электронной почты:OsiptsovOA@rushydro.ru</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 +7 (8672) 40-85-24</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6" w:name="_Ref125361238"/>
            <w:bookmarkStart w:id="27" w:name="_Ref125361238"/>
            <w:bookmarkEnd w:id="2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Осипцов Олег Александрович</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 +7 (8672) 40-85-24</w:t>
            </w:r>
          </w:p>
          <w:p>
            <w:pPr>
              <w:pStyle w:val="Style29"/>
              <w:keepNext w:val="true"/>
              <w:widowControl w:val="false"/>
              <w:suppressAutoHyphens w:val="true"/>
              <w:spacing w:before="60" w:after="60"/>
              <w:jc w:val="left"/>
              <w:rPr/>
            </w:pPr>
            <w:r>
              <w:rPr>
                <w:rFonts w:eastAsia="Calibri" w:cs=""/>
                <w:kern w:val="0"/>
                <w:sz w:val="25"/>
                <w:szCs w:val="25"/>
                <w:lang w:val="ru-RU" w:eastAsia="en-US" w:bidi="ar-SA"/>
              </w:rPr>
              <w:t>Адрес электронной почты:OsiptsovOA@rushydro.ru</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 w:name="_Ref125362694"/>
            <w:bookmarkStart w:id="29" w:name="_Ref125362694"/>
            <w:bookmarkEnd w:id="2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0" w:name="_Ref125360963"/>
            <w:bookmarkStart w:id="31" w:name="_Ref125360963"/>
            <w:bookmarkEnd w:id="3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29"/>
              <w:widowControl w:val="false"/>
              <w:suppressAutoHyphens w:val="true"/>
              <w:spacing w:before="60" w:after="60"/>
              <w:rPr>
                <w:color w:val="000000"/>
              </w:rPr>
            </w:pPr>
            <w:r>
              <w:rPr>
                <w:rFonts w:eastAsia="Calibri" w:cs=""/>
                <w:color w:val="000000"/>
                <w:kern w:val="0"/>
                <w:sz w:val="26"/>
                <w:szCs w:val="22"/>
                <w:lang w:val="ru-RU" w:eastAsia="en-US" w:bidi="ar-SA"/>
              </w:rPr>
              <w:t>«2</w:t>
            </w:r>
            <w:r>
              <w:rPr>
                <w:rFonts w:eastAsia="Calibri" w:cs=""/>
                <w:color w:val="000000"/>
                <w:kern w:val="0"/>
                <w:sz w:val="26"/>
                <w:szCs w:val="22"/>
                <w:lang w:val="ru-RU" w:eastAsia="en-US" w:bidi="ar-SA"/>
              </w:rPr>
              <w:t>7</w:t>
            </w:r>
            <w:r>
              <w:rPr>
                <w:rFonts w:eastAsia="Calibri" w:cs=""/>
                <w:color w:val="000000"/>
                <w:kern w:val="0"/>
                <w:sz w:val="26"/>
                <w:szCs w:val="22"/>
                <w:lang w:val="ru-RU" w:eastAsia="en-US" w:bidi="ar-SA"/>
              </w:rPr>
              <w:t>» мая  2026 г.</w:t>
            </w:r>
          </w:p>
          <w:p>
            <w:pPr>
              <w:pStyle w:val="Style29"/>
              <w:widowControl w:val="false"/>
              <w:suppressAutoHyphens w:val="true"/>
              <w:spacing w:before="60" w:after="60"/>
              <w:rPr>
                <w:rStyle w:val="Style11"/>
              </w:rPr>
            </w:pPr>
            <w:r>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 w:name="_Ref125362837"/>
            <w:bookmarkStart w:id="33" w:name="_Ref125362837"/>
            <w:bookmarkEnd w:id="33"/>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НМЦ составляет 18 797 100,00  руб., без учета НДС.</w:t>
            </w:r>
          </w:p>
          <w:p>
            <w:pPr>
              <w:pStyle w:val="Style32"/>
              <w:widowControl w:val="false"/>
              <w:suppressAutoHyphens w:val="true"/>
              <w:spacing w:before="60" w:after="60"/>
              <w:rPr>
                <w:rFonts w:ascii="Times New Roman" w:hAnsi="Times New Roman" w:eastAsia="Calibri" w:cs=""/>
                <w:kern w:val="0"/>
                <w:sz w:val="16"/>
                <w:szCs w:val="16"/>
                <w:lang w:val="ru-RU" w:eastAsia="en-US" w:bidi="ar-SA"/>
              </w:rPr>
            </w:pPr>
            <w:r>
              <w:rPr>
                <w:rFonts w:eastAsia="Calibri" w:cs=""/>
                <w:kern w:val="0"/>
                <w:sz w:val="16"/>
                <w:szCs w:val="16"/>
                <w:lang w:val="ru-RU" w:eastAsia="en-US" w:bidi="ar-SA"/>
              </w:rPr>
            </w:r>
          </w:p>
          <w:p>
            <w:pPr>
              <w:pStyle w:val="Style29"/>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rStyle w:val="Style11"/>
                <w:i w:val="false"/>
                <w:i w:val="false"/>
                <w:iCs w:val="false"/>
                <w:shd w:fill="auto" w:val="clear"/>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 w:name="_Ref125363076"/>
            <w:bookmarkStart w:id="35" w:name="_Ref125363076"/>
            <w:bookmarkEnd w:id="3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Требуется.</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Размер обеспечения заявок: 433 556  (четыреста тридцать три тысячи пятьсот пятьдесят шесть) рублей 22  копейки, НДС не облагается.</w:t>
            </w:r>
          </w:p>
          <w:p>
            <w:pPr>
              <w:pStyle w:val="Style29"/>
              <w:widowControl w:val="false"/>
              <w:suppressAutoHyphens w:val="true"/>
              <w:spacing w:before="60" w:after="60"/>
              <w:rPr>
                <w:color w:val="000000"/>
              </w:rPr>
            </w:pPr>
            <w:r>
              <w:rPr>
                <w:rFonts w:eastAsia="Calibri" w:cs=""/>
                <w:color w:val="000000"/>
                <w:kern w:val="0"/>
                <w:sz w:val="26"/>
                <w:szCs w:val="22"/>
                <w:lang w:val="ru-RU" w:eastAsia="en-US" w:bidi="ar-SA"/>
              </w:rPr>
              <w:t>Форма обеспечения заявок: внесение денежных средств на индивидуальный счет, открытый Участнику Оператором ЭП в соответствии с Регламентом ЭП.</w:t>
            </w:r>
          </w:p>
          <w:p>
            <w:pPr>
              <w:pStyle w:val="Style29"/>
              <w:widowControl w:val="false"/>
              <w:suppressAutoHyphens w:val="true"/>
              <w:spacing w:before="60" w:after="60"/>
              <w:rPr>
                <w:rStyle w:val="Style11"/>
                <w:i w:val="false"/>
                <w:i w:val="false"/>
                <w:iCs w:val="false"/>
                <w:shd w:fill="auto" w:val="clear"/>
              </w:rPr>
            </w:pPr>
            <w:r>
              <w:rPr>
                <w:rStyle w:val="Style11"/>
                <w:rFonts w:eastAsia="Calibri" w:cs=""/>
                <w:i w:val="false"/>
                <w:iCs w:val="false"/>
                <w:kern w:val="0"/>
                <w:sz w:val="26"/>
                <w:szCs w:val="22"/>
                <w:shd w:fill="auto" w:val="clear"/>
                <w:lang w:val="ru-RU" w:eastAsia="en-US" w:bidi="ar-SA"/>
              </w:rPr>
              <w:t>С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Pr>
                <w:rStyle w:val="Style11"/>
                <w:rFonts w:eastAsia="Calibri" w:cs=""/>
                <w:i w:val="false"/>
                <w:iCs w:val="false"/>
                <w:kern w:val="0"/>
                <w:sz w:val="26"/>
                <w:szCs w:val="22"/>
                <w:shd w:fill="auto" w:val="clear"/>
                <w:lang w:val="ru-RU" w:eastAsia="en-US" w:bidi="ar-SA"/>
              </w:rPr>
              <w:fldChar w:fldCharType="begin"/>
            </w:r>
            <w:r>
              <w:rPr>
                <w:rStyle w:val="Style11"/>
                <w:sz w:val="26"/>
                <w:i w:val="false"/>
                <w:kern w:val="0"/>
                <w:shd w:fill="auto" w:val="clear"/>
                <w:szCs w:val="22"/>
                <w:iCs w:val="false"/>
                <w:rFonts w:eastAsia="Calibri" w:cs=""/>
                <w:lang w:val="ru-RU" w:eastAsia="en-US" w:bidi="ar-SA"/>
              </w:rPr>
              <w:instrText xml:space="preserve"> REF _Ref125360779 \r \h </w:instrText>
            </w:r>
            <w:r>
              <w:rPr>
                <w:rStyle w:val="Style11"/>
                <w:sz w:val="26"/>
                <w:i w:val="false"/>
                <w:kern w:val="0"/>
                <w:shd w:fill="auto" w:val="clear"/>
                <w:szCs w:val="22"/>
                <w:iCs w:val="false"/>
                <w:rFonts w:eastAsia="Calibri" w:cs=""/>
                <w:lang w:val="ru-RU" w:eastAsia="en-US" w:bidi="ar-SA"/>
              </w:rPr>
              <w:fldChar w:fldCharType="separate"/>
            </w:r>
            <w:r>
              <w:rPr>
                <w:rStyle w:val="Style11"/>
                <w:sz w:val="26"/>
                <w:i w:val="false"/>
                <w:kern w:val="0"/>
                <w:shd w:fill="auto" w:val="clear"/>
                <w:szCs w:val="22"/>
                <w:iCs w:val="false"/>
                <w:rFonts w:eastAsia="Calibri" w:cs=""/>
                <w:lang w:val="ru-RU" w:eastAsia="en-US" w:bidi="ar-SA"/>
              </w:rPr>
              <w:t>1.2.18</w:t>
            </w:r>
            <w:r>
              <w:rPr>
                <w:rStyle w:val="Style11"/>
                <w:sz w:val="26"/>
                <w:i w:val="false"/>
                <w:kern w:val="0"/>
                <w:shd w:fill="auto" w:val="clear"/>
                <w:szCs w:val="22"/>
                <w:iCs w:val="false"/>
                <w:rFonts w:eastAsia="Calibri" w:cs=""/>
                <w:lang w:val="ru-RU" w:eastAsia="en-US" w:bidi="ar-SA"/>
              </w:rPr>
              <w:fldChar w:fldCharType="end"/>
            </w:r>
            <w:r>
              <w:rPr>
                <w:rStyle w:val="Style11"/>
                <w:rFonts w:eastAsia="Calibri" w:cs=""/>
                <w:i w:val="false"/>
                <w:iCs w:val="false"/>
                <w:kern w:val="0"/>
                <w:sz w:val="26"/>
                <w:szCs w:val="22"/>
                <w:shd w:fill="auto" w:val="clear"/>
                <w:lang w:val="ru-RU" w:eastAsia="en-US" w:bidi="ar-SA"/>
              </w:rPr>
              <w:t>.</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Внимание!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 w:name="_Ref125362995"/>
            <w:bookmarkStart w:id="37" w:name="_Ref125362995"/>
            <w:bookmarkEnd w:id="3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29"/>
              <w:widowControl w:val="false"/>
              <w:suppressAutoHyphens w:val="true"/>
              <w:spacing w:before="60" w:after="60"/>
              <w:rPr>
                <w:color w:val="000000"/>
              </w:rPr>
            </w:pPr>
            <w:r>
              <w:rPr>
                <w:rFonts w:eastAsia="Calibri" w:cs=""/>
                <w:color w:val="000000"/>
                <w:kern w:val="0"/>
                <w:sz w:val="26"/>
                <w:szCs w:val="22"/>
                <w:lang w:val="ru-RU" w:eastAsia="en-US" w:bidi="ar-SA"/>
              </w:rPr>
              <w:t>Установлен режим преимущества российской продукции (когда национальный режим не предоставляется).</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 w:name="_Ref125533737"/>
            <w:bookmarkStart w:id="39" w:name="_Ref125533737"/>
            <w:bookmarkEnd w:id="39"/>
          </w:p>
        </w:tc>
        <w:tc>
          <w:tcPr>
            <w:tcW w:w="3235"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0" w:name="_Ref125475086"/>
            <w:bookmarkStart w:id="41" w:name="_Ref125475086"/>
            <w:bookmarkEnd w:id="4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 w:name="_Ref125360779"/>
            <w:bookmarkStart w:id="43" w:name="_Ref125360779"/>
            <w:bookmarkEnd w:id="43"/>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color w:val="000000"/>
                <w:kern w:val="0"/>
                <w:sz w:val="26"/>
                <w:szCs w:val="22"/>
                <w:lang w:val="ru-RU" w:eastAsia="en-US" w:bidi="ar-SA"/>
              </w:rPr>
              <w:t>2</w:t>
            </w:r>
            <w:r>
              <w:rPr>
                <w:rFonts w:eastAsia="Calibri" w:cs=""/>
                <w:color w:val="000000"/>
                <w:kern w:val="0"/>
                <w:sz w:val="26"/>
                <w:szCs w:val="22"/>
                <w:lang w:val="ru-RU" w:eastAsia="en-US" w:bidi="ar-SA"/>
              </w:rPr>
              <w:t>7</w:t>
            </w:r>
            <w:r>
              <w:rPr>
                <w:rFonts w:eastAsia="Calibri" w:cs=""/>
                <w:color w:val="000000"/>
                <w:kern w:val="0"/>
                <w:sz w:val="26"/>
                <w:szCs w:val="22"/>
                <w:lang w:val="ru-RU" w:eastAsia="en-US" w:bidi="ar-SA"/>
              </w:rPr>
              <w:t>» мая 2026 г.</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color w:val="000000"/>
                <w:kern w:val="0"/>
                <w:sz w:val="26"/>
                <w:szCs w:val="22"/>
                <w:lang w:val="ru-RU" w:eastAsia="en-US" w:bidi="ar-SA"/>
              </w:rPr>
              <w:t>1</w:t>
            </w:r>
            <w:r>
              <w:rPr>
                <w:rFonts w:eastAsia="Calibri" w:cs=""/>
                <w:color w:val="000000"/>
                <w:kern w:val="0"/>
                <w:sz w:val="26"/>
                <w:szCs w:val="22"/>
                <w:lang w:val="ru-RU" w:eastAsia="en-US" w:bidi="ar-SA"/>
              </w:rPr>
              <w:t>0</w:t>
            </w:r>
            <w:r>
              <w:rPr>
                <w:rFonts w:eastAsia="Calibri" w:cs=""/>
                <w:color w:val="000000"/>
                <w:kern w:val="0"/>
                <w:sz w:val="26"/>
                <w:szCs w:val="22"/>
                <w:lang w:val="ru-RU" w:eastAsia="en-US" w:bidi="ar-SA"/>
              </w:rPr>
              <w:t>» июня 2026 г. в 12 ч. 00 мин.</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29"/>
              <w:widowControl w:val="false"/>
              <w:suppressAutoHyphens w:val="true"/>
              <w:spacing w:before="60" w:after="60"/>
              <w:rPr>
                <w:color w:val="000000"/>
              </w:rPr>
            </w:pPr>
            <w:r>
              <w:rPr>
                <w:rFonts w:eastAsia="Calibri" w:cs=""/>
                <w:color w:val="000000"/>
                <w:kern w:val="0"/>
                <w:sz w:val="26"/>
                <w:szCs w:val="22"/>
                <w:lang w:val="ru-RU" w:eastAsia="en-US" w:bidi="ar-SA"/>
              </w:rPr>
              <w:t>«1</w:t>
            </w:r>
            <w:r>
              <w:rPr>
                <w:rFonts w:eastAsia="Calibri" w:cs=""/>
                <w:color w:val="000000"/>
                <w:kern w:val="0"/>
                <w:sz w:val="26"/>
                <w:szCs w:val="22"/>
                <w:lang w:val="ru-RU" w:eastAsia="en-US" w:bidi="ar-SA"/>
              </w:rPr>
              <w:t>0</w:t>
            </w:r>
            <w:r>
              <w:rPr>
                <w:rFonts w:eastAsia="Calibri" w:cs=""/>
                <w:color w:val="000000"/>
                <w:kern w:val="0"/>
                <w:sz w:val="26"/>
                <w:szCs w:val="22"/>
                <w:lang w:val="ru-RU" w:eastAsia="en-US" w:bidi="ar-SA"/>
              </w:rPr>
              <w:t>» июня 2026 г. в 12 ч. 00 мин.</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w:t>
            </w:r>
            <w:r>
              <w:rPr>
                <w:rFonts w:eastAsia="Calibri" w:cs=""/>
                <w:kern w:val="0"/>
                <w:sz w:val="26"/>
                <w:szCs w:val="22"/>
                <w:lang w:val="ru-RU" w:eastAsia="en-US" w:bidi="ar-SA"/>
              </w:rPr>
              <w:t>(по московскому времени).</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4" w:name="_Ref125476197"/>
            <w:bookmarkStart w:id="45" w:name="_Ref125476197"/>
            <w:bookmarkEnd w:id="4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6" w:name="_Ref125362733"/>
            <w:bookmarkStart w:id="47" w:name="_Ref125362733"/>
            <w:bookmarkEnd w:id="4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заявок:</w:t>
            </w:r>
          </w:p>
        </w:tc>
        <w:tc>
          <w:tcPr>
            <w:tcW w:w="5676" w:type="dxa"/>
            <w:tcBorders/>
          </w:tcPr>
          <w:p>
            <w:pPr>
              <w:pStyle w:val="Style29"/>
              <w:widowControl w:val="false"/>
              <w:suppressAutoHyphens w:val="true"/>
              <w:spacing w:before="60" w:after="60"/>
              <w:rPr>
                <w:color w:val="000000"/>
              </w:rPr>
            </w:pPr>
            <w:r>
              <w:rPr>
                <w:rFonts w:eastAsia="Calibri" w:cs=""/>
                <w:color w:val="000000"/>
                <w:kern w:val="0"/>
                <w:sz w:val="26"/>
                <w:szCs w:val="22"/>
                <w:lang w:val="ru-RU" w:eastAsia="en-US" w:bidi="ar-SA"/>
              </w:rPr>
              <w:t>«</w:t>
            </w:r>
            <w:r>
              <w:rPr>
                <w:rFonts w:eastAsia="Calibri" w:cs=""/>
                <w:color w:val="000000"/>
                <w:kern w:val="0"/>
                <w:sz w:val="26"/>
                <w:szCs w:val="22"/>
                <w:lang w:val="ru-RU" w:eastAsia="en-US" w:bidi="ar-SA"/>
              </w:rPr>
              <w:t>2</w:t>
            </w:r>
            <w:r>
              <w:rPr>
                <w:rFonts w:eastAsia="Calibri" w:cs=""/>
                <w:color w:val="000000"/>
                <w:kern w:val="0"/>
                <w:sz w:val="26"/>
                <w:szCs w:val="22"/>
                <w:lang w:val="ru-RU" w:eastAsia="en-US" w:bidi="ar-SA"/>
              </w:rPr>
              <w:t>4</w:t>
            </w:r>
            <w:r>
              <w:rPr>
                <w:rFonts w:eastAsia="Calibri" w:cs=""/>
                <w:color w:val="000000"/>
                <w:kern w:val="0"/>
                <w:sz w:val="26"/>
                <w:szCs w:val="22"/>
                <w:lang w:val="ru-RU" w:eastAsia="en-US" w:bidi="ar-SA"/>
              </w:rPr>
              <w:t>» июня 2026 г.</w:t>
            </w:r>
          </w:p>
          <w:p>
            <w:pPr>
              <w:pStyle w:val="Style29"/>
              <w:widowControl w:val="false"/>
              <w:suppressAutoHyphens w:val="true"/>
              <w:spacing w:before="60" w:after="60"/>
              <w:rPr>
                <w:rStyle w:val="Style11"/>
              </w:rPr>
            </w:pPr>
            <w:r>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проведения процедуры переторжки: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8" w:name="_Ref125362757"/>
            <w:bookmarkStart w:id="49" w:name="_Ref125362757"/>
            <w:bookmarkEnd w:id="4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cPr>
          <w:p>
            <w:pPr>
              <w:pStyle w:val="Style29"/>
              <w:widowControl w:val="false"/>
              <w:suppressAutoHyphens w:val="true"/>
              <w:spacing w:before="60" w:after="60"/>
              <w:rPr>
                <w:color w:val="000000"/>
              </w:rPr>
            </w:pPr>
            <w:r>
              <w:rPr>
                <w:rFonts w:eastAsia="Calibri" w:cs=""/>
                <w:color w:val="000000"/>
                <w:kern w:val="0"/>
                <w:sz w:val="26"/>
                <w:szCs w:val="22"/>
                <w:lang w:val="ru-RU" w:eastAsia="en-US" w:bidi="ar-SA"/>
              </w:rPr>
              <w:t>«</w:t>
            </w:r>
            <w:r>
              <w:rPr>
                <w:rFonts w:eastAsia="Calibri" w:cs=""/>
                <w:color w:val="000000"/>
                <w:kern w:val="0"/>
                <w:sz w:val="26"/>
                <w:szCs w:val="22"/>
                <w:lang w:val="ru-RU" w:eastAsia="en-US" w:bidi="ar-SA"/>
              </w:rPr>
              <w:t>08</w:t>
            </w:r>
            <w:r>
              <w:rPr>
                <w:rFonts w:eastAsia="Calibri" w:cs=""/>
                <w:color w:val="000000"/>
                <w:kern w:val="0"/>
                <w:sz w:val="26"/>
                <w:szCs w:val="22"/>
                <w:lang w:val="ru-RU" w:eastAsia="en-US" w:bidi="ar-SA"/>
              </w:rPr>
              <w:t>» июля 2026 г.</w:t>
            </w:r>
          </w:p>
          <w:p>
            <w:pPr>
              <w:pStyle w:val="Style29"/>
              <w:widowControl w:val="false"/>
              <w:suppressAutoHyphens w:val="true"/>
              <w:spacing w:before="60" w:after="60"/>
              <w:rPr>
                <w:rStyle w:val="Style11"/>
              </w:rPr>
            </w:pPr>
            <w:r>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0" w:name="_Ref125361769"/>
            <w:bookmarkStart w:id="51" w:name="_Ref125361769"/>
            <w:bookmarkEnd w:id="5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2" w:name="_Ref125366606"/>
            <w:bookmarkStart w:id="53" w:name="_Ref125366606"/>
            <w:bookmarkEnd w:id="53"/>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4" w:name="_Ref125533374"/>
            <w:bookmarkStart w:id="55" w:name="_Ref125533374"/>
            <w:bookmarkEnd w:id="5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договор будет заключаться в электронной форме посредством информационной системы электронного документооборота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6" w:name="_Ref125366813"/>
            <w:bookmarkStart w:id="57" w:name="_Ref125366813"/>
            <w:bookmarkEnd w:id="5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Почтовый адрес: 362049, РСО-Алания, г. Владикавказ, ул.В.Абаева, 63</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для приема документов: Осипцов Олег Александрович</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8" w:name="_Ref125368490"/>
            <w:bookmarkStart w:id="59" w:name="_Ref125368490"/>
            <w:bookmarkEnd w:id="5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29"/>
              <w:widowControl w:val="false"/>
              <w:suppressAutoHyphens w:val="true"/>
              <w:spacing w:before="60" w:after="60"/>
              <w:rPr>
                <w:rFonts w:ascii="Times New Roman" w:hAnsi="Times New Roman" w:eastAsia="Calibri" w:cs=""/>
                <w:color w:val="auto"/>
                <w:kern w:val="0"/>
                <w:sz w:val="26"/>
                <w:szCs w:val="22"/>
                <w:lang w:val="ru-RU" w:eastAsia="en-US" w:bidi="ar-SA"/>
              </w:rPr>
            </w:pPr>
            <w:r>
              <w:rPr>
                <w:rFonts w:eastAsia="Calibri" w:cs=""/>
                <w:color w:val="auto"/>
                <w:kern w:val="0"/>
                <w:sz w:val="26"/>
                <w:szCs w:val="22"/>
                <w:lang w:val="ru-RU" w:eastAsia="en-US" w:bidi="ar-SA"/>
              </w:rPr>
              <w:t>Требуется.</w:t>
            </w:r>
          </w:p>
          <w:p>
            <w:pPr>
              <w:pStyle w:val="Style29"/>
              <w:widowControl w:val="false"/>
              <w:suppressAutoHyphens w:val="true"/>
              <w:spacing w:before="60" w:after="60"/>
              <w:rPr>
                <w:color w:val="auto"/>
              </w:rPr>
            </w:pPr>
            <w:r>
              <w:rPr>
                <w:rFonts w:eastAsia="Calibri" w:cs=""/>
                <w:color w:val="auto"/>
                <w:kern w:val="0"/>
                <w:sz w:val="26"/>
                <w:szCs w:val="22"/>
                <w:lang w:val="ru-RU" w:eastAsia="en-US" w:bidi="ar-SA"/>
              </w:rPr>
              <w:t>Подрядчик обязан в течение 30 (тридцати) календарных дней с даты, следующей за датой начала выполнения Работ, указанной в пункте 1.6 Договора предоставить Заказчику Банковскую гарантию надлежащего исполнения Договора, соответствующую требованиям, установленным разделом 7 Договора.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от каждого платежа, выплачиваемого Заказчиком Подрядчику в порядке, размерах и сроки, установленные пунктами 4.5.5, 4.5.6, 4.5.7, 4.8 Договора в качестве гарантийного резервирования.</w:t>
            </w:r>
          </w:p>
        </w:tc>
      </w:tr>
    </w:tbl>
    <w:p>
      <w:pPr>
        <w:pStyle w:val="Style23"/>
        <w:rPr/>
      </w:pPr>
      <w:bookmarkStart w:id="60" w:name="_Ref125360073"/>
      <w:bookmarkStart w:id="61" w:name="_Toc187767944"/>
      <w:bookmarkStart w:id="62" w:name="_Ref125360337"/>
      <w:r>
        <w:rPr/>
        <w:t>Общие положения</w:t>
      </w:r>
      <w:bookmarkEnd w:id="60"/>
      <w:bookmarkEnd w:id="61"/>
      <w:bookmarkEnd w:id="62"/>
    </w:p>
    <w:p>
      <w:pPr>
        <w:pStyle w:val="Style24"/>
        <w:rPr/>
      </w:pPr>
      <w:bookmarkStart w:id="63" w:name="_Toc187767945"/>
      <w:r>
        <w:rPr/>
        <w:t>Общие сведения о закупке</w:t>
      </w:r>
      <w:bookmarkEnd w:id="63"/>
    </w:p>
    <w:p>
      <w:pPr>
        <w:pStyle w:val="Style25"/>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5"/>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5"/>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w:t>
      </w:r>
    </w:p>
    <w:p>
      <w:pPr>
        <w:pStyle w:val="Style25"/>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4"/>
        <w:rPr/>
      </w:pPr>
      <w:bookmarkStart w:id="64" w:name="_Toc187767946"/>
      <w:r>
        <w:rPr/>
        <w:t>Правовой статус документов</w:t>
      </w:r>
      <w:bookmarkEnd w:id="64"/>
    </w:p>
    <w:p>
      <w:pPr>
        <w:pStyle w:val="Style25"/>
        <w:rPr/>
      </w:pPr>
      <w:r>
        <w:rPr/>
        <w:t>Состязательный отбор не является конкурентной процедурой в соответствии с действующим законодательством.</w:t>
      </w:r>
    </w:p>
    <w:p>
      <w:pPr>
        <w:pStyle w:val="Style25"/>
        <w:rPr/>
      </w:pPr>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5"/>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5"/>
        <w:keepNext w:val="true"/>
        <w:rPr/>
      </w:pPr>
      <w:bookmarkStart w:id="6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65"/>
      <w:r>
        <w:rPr/>
        <w:t>.</w:t>
      </w:r>
    </w:p>
    <w:p>
      <w:pPr>
        <w:pStyle w:val="Style25"/>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5"/>
        <w:rPr/>
      </w:pPr>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5"/>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5"/>
        <w:rPr/>
      </w:pPr>
      <w:r>
        <w:rPr/>
        <w:t>Иные документы Организатора и Участников не определяют права и обязанности сторон в связи с данной закупкой.</w:t>
      </w:r>
    </w:p>
    <w:p>
      <w:pPr>
        <w:pStyle w:val="Style25"/>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4"/>
        <w:rPr/>
      </w:pPr>
      <w:bookmarkStart w:id="66" w:name="_Toc187767947"/>
      <w:bookmarkStart w:id="67" w:name="_Ref125363536"/>
      <w:r>
        <w:rPr/>
        <w:t>Обжалование</w:t>
      </w:r>
      <w:bookmarkEnd w:id="66"/>
      <w:bookmarkEnd w:id="67"/>
    </w:p>
    <w:p>
      <w:pPr>
        <w:pStyle w:val="Style25"/>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5"/>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5"/>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6"/>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6"/>
        <w:rPr/>
      </w:pPr>
      <w:r>
        <w:rPr/>
        <w:t>признать заявление Участника необоснованным.</w:t>
      </w:r>
    </w:p>
    <w:p>
      <w:pPr>
        <w:pStyle w:val="Style25"/>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5"/>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6"/>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6"/>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9"/>
        <w:ind w:left="1134" w:hanging="0"/>
        <w:rPr/>
      </w:pPr>
      <w:r>
        <w:rPr/>
        <w:t>Закупочная комиссия определяется в соответствии с Положением о закупке.</w:t>
      </w:r>
    </w:p>
    <w:p>
      <w:pPr>
        <w:pStyle w:val="Style24"/>
        <w:rPr/>
      </w:pPr>
      <w:bookmarkStart w:id="68" w:name="_Toc187767948"/>
      <w:bookmarkStart w:id="69" w:name="_Ref125472658"/>
      <w:r>
        <w:rPr/>
        <w:t>Особые положения при проведении закупки с использованием ЭП</w:t>
      </w:r>
      <w:bookmarkEnd w:id="68"/>
      <w:bookmarkEnd w:id="69"/>
    </w:p>
    <w:p>
      <w:pPr>
        <w:pStyle w:val="Style25"/>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5"/>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5"/>
        <w:rPr/>
      </w:pPr>
      <w:bookmarkStart w:id="70"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0"/>
    </w:p>
    <w:p>
      <w:pPr>
        <w:pStyle w:val="Style25"/>
        <w:rPr/>
      </w:pPr>
      <w:bookmarkStart w:id="71"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1"/>
    </w:p>
    <w:p>
      <w:pPr>
        <w:pStyle w:val="Style24"/>
        <w:rPr/>
      </w:pPr>
      <w:bookmarkStart w:id="72" w:name="_Toc187767949"/>
      <w:r>
        <w:rPr/>
        <w:t>Прочие положения</w:t>
      </w:r>
      <w:bookmarkEnd w:id="72"/>
    </w:p>
    <w:p>
      <w:pPr>
        <w:pStyle w:val="Style25"/>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5"/>
        <w:rPr/>
      </w:pPr>
      <w:bookmarkStart w:id="73"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3"/>
    </w:p>
    <w:p>
      <w:pPr>
        <w:pStyle w:val="Style25"/>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3"/>
        <w:rPr/>
      </w:pPr>
      <w:bookmarkStart w:id="74" w:name="_Toc187767950"/>
      <w:bookmarkStart w:id="75" w:name="_Ref125361210"/>
      <w:r>
        <w:rPr/>
        <w:t>Требования к Участникам</w:t>
      </w:r>
      <w:bookmarkEnd w:id="74"/>
      <w:bookmarkEnd w:id="75"/>
    </w:p>
    <w:p>
      <w:pPr>
        <w:pStyle w:val="Style24"/>
        <w:rPr/>
      </w:pPr>
      <w:bookmarkStart w:id="76" w:name="_Toc187767951"/>
      <w:bookmarkStart w:id="77" w:name="_Ref127524530"/>
      <w:r>
        <w:rPr/>
        <w:t>Общие требования к Участникам</w:t>
      </w:r>
      <w:bookmarkEnd w:id="76"/>
      <w:bookmarkEnd w:id="77"/>
    </w:p>
    <w:p>
      <w:pPr>
        <w:pStyle w:val="Style25"/>
        <w:rPr/>
      </w:pPr>
      <w:bookmarkStart w:id="78"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78"/>
    </w:p>
    <w:p>
      <w:pPr>
        <w:pStyle w:val="Style25"/>
        <w:rPr/>
      </w:pPr>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5"/>
        <w:rPr/>
      </w:pPr>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w:t>
      </w:r>
    </w:p>
    <w:p>
      <w:pPr>
        <w:pStyle w:val="Style25"/>
        <w:keepNext w:val="true"/>
        <w:rPr/>
      </w:pPr>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6"/>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 должны им соответствовать;</w:t>
      </w:r>
    </w:p>
    <w:p>
      <w:pPr>
        <w:pStyle w:val="Style26"/>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6"/>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5"/>
        <w:keepNext w:val="true"/>
        <w:rPr/>
      </w:pPr>
      <w:r>
        <w:rPr/>
        <w:t>В рамках требований к Участникам могут быть установлены дополнительные требования:</w:t>
      </w:r>
    </w:p>
    <w:p>
      <w:pPr>
        <w:pStyle w:val="Style26"/>
        <w:rPr/>
      </w:pPr>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6"/>
        <w:rPr/>
      </w:pPr>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5"/>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4"/>
        <w:rPr/>
      </w:pPr>
      <w:bookmarkStart w:id="79" w:name="_Ref130308255"/>
      <w:bookmarkStart w:id="80" w:name="_Ref125361976"/>
      <w:bookmarkStart w:id="81" w:name="_Ref125361969"/>
      <w:bookmarkStart w:id="82" w:name="_Toc187767952"/>
      <w:bookmarkStart w:id="83" w:name="_Ref130308111"/>
      <w:bookmarkStart w:id="84" w:name="_Ref130305355"/>
      <w:bookmarkStart w:id="85" w:name="_Ref130308203"/>
      <w:bookmarkStart w:id="86" w:name="_Ref130308062"/>
      <w:r>
        <w:rPr/>
        <w:t>Коллективные участники</w:t>
      </w:r>
      <w:bookmarkEnd w:id="79"/>
      <w:bookmarkEnd w:id="80"/>
      <w:bookmarkEnd w:id="81"/>
      <w:bookmarkEnd w:id="82"/>
      <w:bookmarkEnd w:id="83"/>
      <w:bookmarkEnd w:id="84"/>
      <w:bookmarkEnd w:id="85"/>
      <w:bookmarkEnd w:id="86"/>
    </w:p>
    <w:p>
      <w:pPr>
        <w:pStyle w:val="Style25"/>
        <w:rPr/>
      </w:pPr>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5"/>
        <w:rPr/>
      </w:pPr>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5"/>
        <w:keepNext w:val="true"/>
        <w:rPr/>
      </w:pPr>
      <w:bookmarkStart w:id="87" w:name="_Ref125366972"/>
      <w:r>
        <w:rPr/>
        <w:t>Члены Коллективного участника заключают между собой соглашение, соответствующее нормам ГК РФ, и отвечающее следующим требованиям:</w:t>
      </w:r>
      <w:bookmarkEnd w:id="87"/>
    </w:p>
    <w:p>
      <w:pPr>
        <w:pStyle w:val="Style26"/>
        <w:rPr/>
      </w:pPr>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6"/>
        <w:rPr/>
      </w:pPr>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26"/>
        <w:rPr/>
      </w:pPr>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6"/>
        <w:rPr/>
      </w:pPr>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6"/>
        <w:rPr/>
      </w:pPr>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6"/>
        <w:rPr/>
      </w:pPr>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5"/>
        <w:rPr/>
      </w:pPr>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4"/>
          </w:rPr>
          <w:t>Приложение № 4</w:t>
        </w:r>
      </w:hyperlink>
      <w:r>
        <w:rPr/>
        <w:t>) на то, что он представляет интересы Коллективного участника.</w:t>
      </w:r>
    </w:p>
    <w:p>
      <w:pPr>
        <w:pStyle w:val="Style25"/>
        <w:rPr/>
      </w:pPr>
      <w:bookmarkStart w:id="88" w:name="_Ref125368791"/>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88"/>
    </w:p>
    <w:p>
      <w:pPr>
        <w:pStyle w:val="Style25"/>
        <w:rPr/>
      </w:pPr>
      <w:r>
        <w:rPr/>
        <w:t>При рассмотрении и оценке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5"/>
        <w:rPr/>
      </w:pPr>
      <w:bookmarkStart w:id="89" w:name="_Ref134705077"/>
      <w:r>
        <w:rPr/>
        <w:t>При рассмотрении и оценке Коллективного участника на соответствие квалификационным требованиям к Участникам (подраздел </w:t>
      </w:r>
      <w:r>
        <w:rPr/>
        <w:fldChar w:fldCharType="begin"/>
      </w:r>
      <w:r>
        <w:rPr/>
        <w:instrText xml:space="preserve"> REF _Ref125709154 \r \h </w:instrText>
      </w:r>
      <w:r>
        <w:rPr/>
        <w:fldChar w:fldCharType="separate"/>
      </w:r>
      <w:r>
        <w:rPr/>
        <w:t>8.4</w:t>
      </w:r>
      <w:r>
        <w:rPr/>
        <w:fldChar w:fldCharType="end"/>
      </w:r>
      <w:r>
        <w:rPr/>
        <w:t>), количественные параметры деятельности членов Коллективного участника (</w:t>
      </w:r>
      <w:bookmarkStart w:id="90" w:name="_Hlk132708323"/>
      <w:r>
        <w:rPr/>
        <w:t>наличие требуемого опыта, обеспеченность материально-техническими ресурсами и кадровыми ресурсами</w:t>
      </w:r>
      <w:bookmarkEnd w:id="90"/>
      <w:r>
        <w:rPr/>
        <w:t>) суммируются. Не подлежащие суммированию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указанного опыта и других показателей, не подлежащих суммированию.</w:t>
      </w:r>
      <w:bookmarkEnd w:id="89"/>
    </w:p>
    <w:p>
      <w:pPr>
        <w:pStyle w:val="Style25"/>
        <w:keepNext w:val="true"/>
        <w:rPr/>
      </w:pPr>
      <w:bookmarkStart w:id="91" w:name="_Ref125361726"/>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91"/>
    </w:p>
    <w:p>
      <w:pPr>
        <w:pStyle w:val="Style26"/>
        <w:rPr/>
      </w:pPr>
      <w:r>
        <w:rPr/>
        <w:t>принимать участие в этой же закупке самостоятельно;</w:t>
      </w:r>
    </w:p>
    <w:p>
      <w:pPr>
        <w:pStyle w:val="Style26"/>
        <w:rPr/>
      </w:pPr>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29"/>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5"/>
        <w:rPr/>
      </w:pPr>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4"/>
          </w:rPr>
          <w:t>Приложение № 3</w:t>
        </w:r>
      </w:hyperlink>
      <w:r>
        <w:rPr>
          <w:rStyle w:val="Style14"/>
        </w:rPr>
        <w:t>)</w:t>
      </w:r>
      <w:r>
        <w:rPr/>
        <w:t>, а также при несоблюдении вышеуказанных норм настоящего подраздела, заявка такого Коллективного участника отклоняется.</w:t>
      </w:r>
    </w:p>
    <w:p>
      <w:pPr>
        <w:pStyle w:val="Style25"/>
        <w:rPr/>
      </w:pPr>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5"/>
        <w:rPr/>
      </w:pPr>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4"/>
        <w:rPr/>
      </w:pPr>
      <w:bookmarkStart w:id="92" w:name="_Toc187767953"/>
      <w:bookmarkStart w:id="93" w:name="_Ref125361702"/>
      <w:r>
        <w:rPr/>
        <w:t>Генеральные подрядчики</w:t>
      </w:r>
      <w:bookmarkEnd w:id="92"/>
      <w:bookmarkEnd w:id="93"/>
    </w:p>
    <w:p>
      <w:pPr>
        <w:pStyle w:val="Style25"/>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5"/>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5"/>
        <w:keepNext w:val="true"/>
        <w:rPr/>
      </w:pPr>
      <w:r>
        <w:rPr/>
        <w:t>Генеральный подрядчик:</w:t>
      </w:r>
    </w:p>
    <w:p>
      <w:pPr>
        <w:pStyle w:val="Style26"/>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6"/>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6"/>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5"/>
        <w:keepNext w:val="true"/>
        <w:rPr/>
      </w:pPr>
      <w:r>
        <w:rPr/>
        <w:t>Каждый субподрядчик из привлекаемых Генеральным подрядчиком должен отвечать:</w:t>
      </w:r>
    </w:p>
    <w:p>
      <w:pPr>
        <w:pStyle w:val="Style26"/>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6"/>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6"/>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29"/>
        <w:ind w:left="1134" w:hanging="0"/>
        <w:rPr/>
      </w:pPr>
      <w:bookmarkStart w:id="94"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94"/>
      <w:r>
        <w:rPr/>
        <w:t>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5"/>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5"/>
        <w:rPr/>
      </w:pPr>
      <w:bookmarkStart w:id="95"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95"/>
    </w:p>
    <w:p>
      <w:pPr>
        <w:sectPr>
          <w:headerReference w:type="default" r:id="rId5"/>
          <w:footerReference w:type="default" r:id="rId6"/>
          <w:footerReference w:type="first" r:id="rId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5"/>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3"/>
        <w:rPr/>
      </w:pPr>
      <w:bookmarkStart w:id="96" w:name="_Ref125367974"/>
      <w:bookmarkStart w:id="97" w:name="_Ref125367107"/>
      <w:bookmarkStart w:id="98" w:name="_Ref125367098"/>
      <w:bookmarkStart w:id="99" w:name="_Ref125361211"/>
      <w:bookmarkStart w:id="100" w:name="_Toc187767954"/>
      <w:r>
        <w:rPr/>
        <w:t>Порядок проведения закупки</w:t>
      </w:r>
      <w:bookmarkEnd w:id="96"/>
      <w:bookmarkEnd w:id="97"/>
      <w:bookmarkEnd w:id="98"/>
      <w:bookmarkEnd w:id="99"/>
      <w:bookmarkEnd w:id="100"/>
    </w:p>
    <w:p>
      <w:pPr>
        <w:pStyle w:val="Style24"/>
        <w:rPr/>
      </w:pPr>
      <w:bookmarkStart w:id="101" w:name="_Toc187767955"/>
      <w:bookmarkStart w:id="102" w:name="_Ref126141932"/>
      <w:r>
        <w:rPr/>
        <w:t>Общий порядок проведения закупки</w:t>
      </w:r>
      <w:bookmarkEnd w:id="101"/>
      <w:bookmarkEnd w:id="102"/>
    </w:p>
    <w:p>
      <w:pPr>
        <w:pStyle w:val="Style25"/>
        <w:keepNext w:val="true"/>
        <w:spacing w:before="120" w:after="120"/>
        <w:rPr/>
      </w:pPr>
      <w:r>
        <w:rPr/>
        <w:t>Закупка проводится в следующем порядке:</w:t>
      </w:r>
    </w:p>
    <w:tbl>
      <w:tblPr>
        <w:tblStyle w:val="af4"/>
        <w:tblW w:w="14003" w:type="dxa"/>
        <w:jc w:val="left"/>
        <w:tblInd w:w="1129" w:type="dxa"/>
        <w:tblLayout w:type="fixed"/>
        <w:tblCellMar>
          <w:top w:w="0" w:type="dxa"/>
          <w:left w:w="0" w:type="dxa"/>
          <w:bottom w:w="0" w:type="dxa"/>
          <w:right w:w="5" w:type="dxa"/>
        </w:tblCellMar>
        <w:tblLook w:noVBand="1" w:val="04a0" w:noHBand="0" w:lastColumn="0" w:firstColumn="1" w:lastRow="0" w:firstRow="1"/>
      </w:tblPr>
      <w:tblGrid>
        <w:gridCol w:w="428"/>
        <w:gridCol w:w="2221"/>
        <w:gridCol w:w="1113"/>
        <w:gridCol w:w="1108"/>
        <w:gridCol w:w="2229"/>
        <w:gridCol w:w="2407"/>
        <w:gridCol w:w="2266"/>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29"/>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7"/>
            <w:tcBorders>
              <w:right w:val="nil"/>
            </w:tcBorders>
          </w:tcPr>
          <w:p>
            <w:pPr>
              <w:pStyle w:val="Style29"/>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71" w:type="dxa"/>
            <w:gridSpan w:val="4"/>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7" w:type="dxa"/>
            <w:vMerge w:val="restart"/>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6" w:type="dxa"/>
            <w:vMerge w:val="restart"/>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4"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7"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6"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6"/>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4"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7"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7" w:type="dxa"/>
            <w:vMerge w:val="restart"/>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6" w:type="dxa"/>
            <w:vMerge w:val="restart"/>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71" w:type="dxa"/>
            <w:gridSpan w:val="4"/>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6"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4" w:type="dxa"/>
            <w:gridSpan w:val="2"/>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7"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6"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8" w:type="dxa"/>
            <w:gridSpan w:val="5"/>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6"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2221" w:type="dxa"/>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21"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636"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6" w:type="dxa"/>
            <w:gridSpan w:val="2"/>
            <w:tcBorders>
              <w:right w:val="nil"/>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8"/>
          <w:headerReference w:type="first" r:id="rId9"/>
          <w:footerReference w:type="default" r:id="rId10"/>
          <w:footerReference w:type="first" r:id="rId1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4"/>
        <w:rPr/>
      </w:pPr>
      <w:bookmarkStart w:id="103" w:name="_Toc187767956"/>
      <w:bookmarkStart w:id="104" w:name="_Ref130286532"/>
      <w:r>
        <w:rPr/>
        <w:t>Официальное размещение Извещения и Документации о закупке</w:t>
      </w:r>
      <w:bookmarkEnd w:id="103"/>
      <w:bookmarkEnd w:id="104"/>
    </w:p>
    <w:p>
      <w:pPr>
        <w:pStyle w:val="Style25"/>
        <w:rPr/>
      </w:pPr>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5"/>
        <w:rPr/>
      </w:pPr>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5"/>
        <w:rPr/>
      </w:pPr>
      <w:bookmarkStart w:id="105" w:name="_Ref125362785"/>
      <w:r>
        <w:rPr/>
        <w:t>Порядок получения информации через ЭП определяется Регламентом ЭП, с использованием которой проводится закупка.</w:t>
      </w:r>
      <w:bookmarkEnd w:id="105"/>
    </w:p>
    <w:p>
      <w:pPr>
        <w:pStyle w:val="Style25"/>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4"/>
        <w:rPr/>
      </w:pPr>
      <w:bookmarkStart w:id="106" w:name="_Ref130281199"/>
      <w:bookmarkStart w:id="107" w:name="_Toc187767957"/>
      <w:bookmarkStart w:id="108" w:name="_Ref130394681"/>
      <w:r>
        <w:rPr/>
        <w:t>Подготовка заявки</w:t>
      </w:r>
      <w:bookmarkEnd w:id="106"/>
      <w:bookmarkEnd w:id="107"/>
      <w:bookmarkEnd w:id="108"/>
    </w:p>
    <w:p>
      <w:pPr>
        <w:pStyle w:val="Style25"/>
        <w:rPr/>
      </w:pPr>
      <w:r>
        <w:rPr/>
        <w:t>Участник должен подготовить заявку с учетом требований Документации о закупке.</w:t>
      </w:r>
    </w:p>
    <w:p>
      <w:pPr>
        <w:pStyle w:val="Style25"/>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5"/>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5"/>
        <w:rPr/>
      </w:pPr>
      <w:bookmarkStart w:id="109" w:name="_Ref125365866"/>
      <w:bookmarkStart w:id="110" w:name="_Ref130394854"/>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09"/>
      <w:bookmarkEnd w:id="110"/>
    </w:p>
    <w:p>
      <w:pPr>
        <w:pStyle w:val="Style25"/>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5"/>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5"/>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5"/>
        <w:rPr/>
      </w:pPr>
      <w:bookmarkStart w:id="111" w:name="_Ref125370708"/>
      <w:bookmarkStart w:id="112" w:name="_Ref125370700"/>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5"/>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11"/>
      <w:bookmarkEnd w:id="112"/>
    </w:p>
    <w:p>
      <w:pPr>
        <w:pStyle w:val="Style25"/>
        <w:rPr/>
      </w:pPr>
      <w:r>
        <w:rPr/>
        <w:t>Нормы настоящего пункта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Style14"/>
          </w:rPr>
          <w:t>Приложение № 4</w:t>
        </w:r>
      </w:hyperlink>
      <w:r>
        <w:rP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5"/>
        <w:rPr/>
      </w:pPr>
      <w:bookmarkStart w:id="113" w:name="_Ref130379863"/>
      <w:r>
        <w:rPr/>
        <w:t>Нормы настоящего пункта и пунктов </w:t>
      </w:r>
      <w:r>
        <w:rPr/>
        <w:fldChar w:fldCharType="begin"/>
      </w:r>
      <w:r>
        <w:rPr/>
        <w:instrText xml:space="preserve"> REF _Ref164251545 \r \h </w:instrText>
      </w:r>
      <w:r>
        <w:rPr/>
        <w:fldChar w:fldCharType="separate"/>
      </w:r>
      <w:r>
        <w:rPr/>
        <w:t>4.3.12</w:t>
      </w:r>
      <w:r>
        <w:rPr/>
        <w:fldChar w:fldCharType="end"/>
      </w:r>
      <w:r>
        <w:rPr/>
        <w:t xml:space="preserve"> – </w:t>
      </w:r>
      <w:r>
        <w:rPr/>
        <w:fldChar w:fldCharType="begin"/>
      </w:r>
      <w:r>
        <w:rPr/>
        <w:instrText xml:space="preserve"> REF _Ref130455500 \r \h </w:instrText>
      </w:r>
      <w:r>
        <w:rPr/>
        <w:fldChar w:fldCharType="separate"/>
      </w:r>
      <w:r>
        <w:rPr/>
        <w:t>4.3.15</w:t>
      </w:r>
      <w:r>
        <w:rPr/>
        <w:fldChar w:fldCharType="end"/>
      </w:r>
      <w:r>
        <w:rPr/>
        <w:t xml:space="preserve">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Style14"/>
          </w:rPr>
          <w:t>Приложение № 4</w:t>
        </w:r>
      </w:hyperlink>
      <w:r>
        <w:rP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w:t>
      </w:r>
      <w:bookmarkEnd w:id="113"/>
    </w:p>
    <w:p>
      <w:pPr>
        <w:pStyle w:val="Style25"/>
        <w:rPr/>
      </w:pPr>
      <w:bookmarkStart w:id="114" w:name="_Ref164251545"/>
      <w:r>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Style14"/>
          </w:rPr>
          <w:t>Технических требованиях (Приложение № 1)</w:t>
        </w:r>
      </w:hyperlink>
      <w:r>
        <w:rP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114"/>
    </w:p>
    <w:p>
      <w:pPr>
        <w:pStyle w:val="Style25"/>
        <w:rPr/>
      </w:pPr>
      <w:r>
        <w:rPr/>
        <w:t xml:space="preserve">Если в </w:t>
      </w:r>
      <w:hyperlink w:anchor="Прил01_ТехТребования">
        <w:r>
          <w:rPr>
            <w:rStyle w:val="Style14"/>
          </w:rPr>
          <w:t>Технических требованиях (Приложение № 1)</w:t>
        </w:r>
      </w:hyperlink>
      <w:r>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Style14"/>
          </w:rPr>
          <w:t>Технических требованиях (Приложение № 1)</w:t>
        </w:r>
      </w:hyperlink>
      <w:r>
        <w:rPr/>
        <w:t>.</w:t>
      </w:r>
    </w:p>
    <w:p>
      <w:pPr>
        <w:pStyle w:val="Style25"/>
        <w:rPr/>
      </w:pPr>
      <w:bookmarkStart w:id="115" w:name="_Ref130379876"/>
      <w:r>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Style14"/>
          </w:rPr>
          <w:t>Техническими требованиями (Приложение № 1)</w:t>
        </w:r>
      </w:hyperlink>
      <w:r>
        <w:rPr/>
        <w:t>.</w:t>
      </w:r>
      <w:bookmarkEnd w:id="115"/>
    </w:p>
    <w:p>
      <w:pPr>
        <w:pStyle w:val="Style25"/>
        <w:rPr/>
      </w:pPr>
      <w:bookmarkStart w:id="116" w:name="_Ref130455500"/>
      <w:r>
        <w:rPr/>
        <w:t>В случае нарушения Участником требований к описанию продукции (пункты </w:t>
      </w:r>
      <w:r>
        <w:rPr/>
        <w:fldChar w:fldCharType="begin"/>
      </w:r>
      <w:r>
        <w:rPr/>
        <w:instrText xml:space="preserve"> REF _Ref130379863 \r \h </w:instrText>
      </w:r>
      <w:r>
        <w:rPr/>
        <w:fldChar w:fldCharType="separate"/>
      </w:r>
      <w:r>
        <w:rPr/>
        <w:t>4.3.11</w:t>
      </w:r>
      <w:r>
        <w:rPr/>
        <w:fldChar w:fldCharType="end"/>
      </w:r>
      <w:r>
        <w:rPr/>
        <w:t xml:space="preserve"> – </w:t>
      </w:r>
      <w:r>
        <w:rPr/>
        <w:fldChar w:fldCharType="begin"/>
      </w:r>
      <w:r>
        <w:rPr/>
        <w:instrText xml:space="preserve"> REF _Ref130379876 \r \h </w:instrText>
      </w:r>
      <w:r>
        <w:rPr/>
        <w:fldChar w:fldCharType="separate"/>
      </w:r>
      <w:r>
        <w:rPr/>
        <w:t>4.3.14</w:t>
      </w:r>
      <w:r>
        <w:rPr/>
        <w:fldChar w:fldCharType="end"/>
      </w:r>
      <w:r>
        <w:rPr/>
        <w:t>) Организатор вправе отклонить заявку такого Участника от дальнейшего участия в закупке.</w:t>
      </w:r>
      <w:bookmarkEnd w:id="116"/>
    </w:p>
    <w:p>
      <w:pPr>
        <w:pStyle w:val="Style25"/>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6"/>
        <w:rPr/>
      </w:pPr>
      <w:r>
        <w:rPr/>
        <w:t>внутренние противоречия между различными частями и (или) документами заявки, в том числе по тексту внутри одного документа;</w:t>
      </w:r>
    </w:p>
    <w:p>
      <w:pPr>
        <w:pStyle w:val="Style26"/>
        <w:rPr/>
      </w:pPr>
      <w:bookmarkStart w:id="117" w:name="_Ref125714384"/>
      <w:bookmarkStart w:id="118" w:name="_Ref125370398"/>
      <w:r>
        <w:rPr/>
        <w:t>противоречия между документами заявки и сведениями, указанными Участником в структурированных формах на ЭП.</w:t>
      </w:r>
      <w:bookmarkEnd w:id="117"/>
      <w:bookmarkEnd w:id="118"/>
    </w:p>
    <w:p>
      <w:pPr>
        <w:pStyle w:val="Style25"/>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6"/>
        <w:rPr/>
      </w:pPr>
      <w:r>
        <w:rPr/>
        <w:t>полномочий таких органов / лиц на оформление этих документов;</w:t>
      </w:r>
    </w:p>
    <w:p>
      <w:pPr>
        <w:pStyle w:val="Style26"/>
        <w:rPr/>
      </w:pPr>
      <w:r>
        <w:rPr/>
        <w:t>формы, объема и содержания этих документов.</w:t>
      </w:r>
    </w:p>
    <w:p>
      <w:pPr>
        <w:pStyle w:val="Style25"/>
        <w:keepNext w:val="true"/>
        <w:rPr/>
      </w:pPr>
      <w:r>
        <w:rPr/>
        <w:t>Участник должен подготовить заявку с соблюдением следующих условий:</w:t>
      </w:r>
    </w:p>
    <w:p>
      <w:pPr>
        <w:pStyle w:val="Style26"/>
        <w:rPr/>
      </w:pPr>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6"/>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6"/>
        <w:rPr/>
      </w:pPr>
      <w:r>
        <w:rPr/>
        <w:t>все файлы не должны иметь защиты от их открытия, изменения, копирования их содержимого или их печати;</w:t>
      </w:r>
    </w:p>
    <w:p>
      <w:pPr>
        <w:pStyle w:val="Style26"/>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6"/>
        <w:rPr/>
      </w:pPr>
      <w:r>
        <w:rPr/>
        <w:t>если какой-либо документ представлен в нечитаемом виде, данный документ считается непредставленным.</w:t>
      </w:r>
    </w:p>
    <w:p>
      <w:pPr>
        <w:pStyle w:val="Style25"/>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4"/>
        <w:rPr/>
      </w:pPr>
      <w:bookmarkStart w:id="119" w:name="_Ref125366672"/>
      <w:bookmarkStart w:id="120" w:name="_Ref125362071"/>
      <w:bookmarkStart w:id="121" w:name="_Ref125361260"/>
      <w:bookmarkStart w:id="122" w:name="_Toc187767958"/>
      <w:bookmarkStart w:id="123" w:name="_Ref130394802"/>
      <w:bookmarkStart w:id="124" w:name="_Ref130394785"/>
      <w:bookmarkStart w:id="125" w:name="_Ref130394205"/>
      <w:r>
        <w:rPr/>
        <w:t>Разъяснение Документации о закупке</w:t>
      </w:r>
      <w:bookmarkEnd w:id="119"/>
      <w:bookmarkEnd w:id="120"/>
      <w:bookmarkEnd w:id="121"/>
      <w:bookmarkEnd w:id="122"/>
      <w:bookmarkEnd w:id="123"/>
      <w:bookmarkEnd w:id="124"/>
      <w:bookmarkEnd w:id="125"/>
    </w:p>
    <w:p>
      <w:pPr>
        <w:pStyle w:val="Style25"/>
        <w:rPr/>
      </w:pPr>
      <w:r>
        <w:rPr/>
        <w:t>Участники вправе обратиться к Организатору за разъяснениями Документации о закупке.</w:t>
      </w:r>
    </w:p>
    <w:p>
      <w:pPr>
        <w:pStyle w:val="Style25"/>
        <w:rPr/>
      </w:pPr>
      <w:r>
        <w:rPr/>
        <w:t>Запросы подаются в соответствии с Регламентами и инструкциями Оператора ЭП, опубликованными на сайте соответствующей ЭП.</w:t>
      </w:r>
    </w:p>
    <w:p>
      <w:pPr>
        <w:pStyle w:val="Style25"/>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5"/>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5"/>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5"/>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5"/>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4"/>
        <w:rPr/>
      </w:pPr>
      <w:bookmarkStart w:id="126" w:name="_Toc187767959"/>
      <w:bookmarkStart w:id="127" w:name="_Ref125364404"/>
      <w:bookmarkStart w:id="128" w:name="_Ref125363891"/>
      <w:bookmarkStart w:id="129" w:name="_Ref125362076"/>
      <w:r>
        <w:rPr/>
        <w:t>Изменения Извещения и (или) Документации о закупке</w:t>
      </w:r>
      <w:bookmarkEnd w:id="126"/>
      <w:bookmarkEnd w:id="127"/>
      <w:bookmarkEnd w:id="128"/>
      <w:bookmarkEnd w:id="129"/>
    </w:p>
    <w:p>
      <w:pPr>
        <w:pStyle w:val="Style25"/>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5"/>
        <w:rPr/>
      </w:pPr>
      <w:bookmarkStart w:id="130" w:name="_Ref125550844"/>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30"/>
    </w:p>
    <w:p>
      <w:pPr>
        <w:pStyle w:val="Style25"/>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5"/>
        <w:rPr/>
      </w:pPr>
      <w:bookmarkStart w:id="131"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31"/>
      <w:r>
        <w:rPr/>
        <w:t xml:space="preserve"> 4 (четырех) рабочих дней.</w:t>
      </w:r>
    </w:p>
    <w:p>
      <w:pPr>
        <w:pStyle w:val="Style25"/>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4"/>
        <w:rPr/>
      </w:pPr>
      <w:bookmarkStart w:id="132" w:name="_Toc187767960"/>
      <w:bookmarkStart w:id="133" w:name="_Ref125362119"/>
      <w:r>
        <w:rPr/>
        <w:t>Подача заявок и их прием</w:t>
      </w:r>
      <w:bookmarkEnd w:id="132"/>
      <w:bookmarkEnd w:id="133"/>
    </w:p>
    <w:p>
      <w:pPr>
        <w:pStyle w:val="Style25"/>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5"/>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5"/>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5"/>
        <w:rPr/>
      </w:pPr>
      <w:r>
        <w:rPr/>
        <w:t>Заявка должна быть подписана электронной подписью лица, которое является уполномоченным представителем Участника.</w:t>
      </w:r>
    </w:p>
    <w:p>
      <w:pPr>
        <w:pStyle w:val="Style25"/>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5"/>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5"/>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4"/>
        <w:rPr/>
      </w:pPr>
      <w:bookmarkStart w:id="134" w:name="_Ref125362130"/>
      <w:bookmarkStart w:id="135" w:name="_Ref125363819"/>
      <w:bookmarkStart w:id="136" w:name="_Ref125362192"/>
      <w:bookmarkStart w:id="137" w:name="_Toc187767961"/>
      <w:bookmarkStart w:id="138" w:name="_Ref125365136"/>
      <w:r>
        <w:rPr/>
        <w:t>Изменение и отзыв заявок</w:t>
      </w:r>
      <w:bookmarkEnd w:id="134"/>
      <w:bookmarkEnd w:id="135"/>
      <w:bookmarkEnd w:id="136"/>
      <w:bookmarkEnd w:id="137"/>
      <w:bookmarkEnd w:id="138"/>
    </w:p>
    <w:p>
      <w:pPr>
        <w:pStyle w:val="Style25"/>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5"/>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5"/>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5"/>
        <w:rPr/>
      </w:pPr>
      <w:r>
        <w:rPr/>
        <w:t>Изменения и отзыв заявки осуществляется посредством функционала ЭП (подробный порядок определяется Регламентом ЭП).</w:t>
      </w:r>
    </w:p>
    <w:p>
      <w:pPr>
        <w:pStyle w:val="Style24"/>
        <w:rPr/>
      </w:pPr>
      <w:bookmarkStart w:id="139" w:name="_Toc187767962"/>
      <w:bookmarkStart w:id="140" w:name="_Ref130221619"/>
      <w:bookmarkStart w:id="141" w:name="_Ref125364340"/>
      <w:bookmarkEnd w:id="141"/>
      <w:r>
        <w:rPr/>
        <w:t>Открытие доступа к заявкам</w:t>
      </w:r>
      <w:bookmarkEnd w:id="139"/>
      <w:bookmarkEnd w:id="140"/>
    </w:p>
    <w:p>
      <w:pPr>
        <w:pStyle w:val="Style25"/>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5"/>
        <w:rPr/>
      </w:pPr>
      <w:r>
        <w:rPr/>
        <w:t>Оператор ЭП предоставляет Организатору доступ одновременно ко всем поданным заявкам в полном объеме.</w:t>
      </w:r>
    </w:p>
    <w:p>
      <w:pPr>
        <w:pStyle w:val="Style25"/>
        <w:keepNext w:val="true"/>
        <w:rPr/>
      </w:pPr>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присваиваемые Оператором ЭП;</w:t>
      </w:r>
    </w:p>
    <w:p>
      <w:pPr>
        <w:pStyle w:val="Style26"/>
        <w:rPr/>
      </w:pPr>
      <w:r>
        <w:rPr/>
        <w:t>стоимости заявок (или иное указание на общую стоимость заявки);</w:t>
      </w:r>
    </w:p>
    <w:p>
      <w:pPr>
        <w:pStyle w:val="Style26"/>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9"/>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5"/>
        <w:rPr/>
      </w:pPr>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5"/>
        <w:rPr/>
      </w:pPr>
      <w:r>
        <w:rPr/>
        <w:t>Порядок получения Участниками информации о поступивших заявках через ЭП определяется Регламентом ЭП.</w:t>
      </w:r>
    </w:p>
    <w:p>
      <w:pPr>
        <w:pStyle w:val="Style24"/>
        <w:rPr/>
      </w:pPr>
      <w:bookmarkStart w:id="142" w:name="_Ref135749133"/>
      <w:bookmarkStart w:id="143" w:name="_Toc187767963"/>
      <w:bookmarkStart w:id="144" w:name="_Ref125362364"/>
      <w:bookmarkStart w:id="145" w:name="_Ref125366689"/>
      <w:bookmarkStart w:id="146" w:name="_Ref125364340_Копия_1"/>
      <w:bookmarkEnd w:id="146"/>
      <w:r>
        <w:rPr/>
        <w:t>Рассмотрение заявок (отборочная стадия)</w:t>
      </w:r>
      <w:bookmarkEnd w:id="144"/>
      <w:bookmarkEnd w:id="145"/>
      <w:r>
        <w:rPr/>
        <w:t>, в том числе (при необходимости) проведение аккредитации</w:t>
      </w:r>
      <w:bookmarkEnd w:id="142"/>
      <w:bookmarkEnd w:id="143"/>
    </w:p>
    <w:p>
      <w:pPr>
        <w:pStyle w:val="Style25"/>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5"/>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5"/>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5"/>
        <w:keepNext w:val="true"/>
        <w:rPr/>
      </w:pPr>
      <w:r>
        <w:rPr/>
        <w:t>При выявлении в рамках рассмотрения заявок наличия арифметических ошибок, в том числе:</w:t>
      </w:r>
    </w:p>
    <w:p>
      <w:pPr>
        <w:pStyle w:val="Style26"/>
        <w:rPr/>
      </w:pPr>
      <w:r>
        <w:rPr/>
        <w:t>в результате суммирования единичных расценок;</w:t>
      </w:r>
    </w:p>
    <w:p>
      <w:pPr>
        <w:pStyle w:val="Style26"/>
        <w:rPr/>
      </w:pPr>
      <w:r>
        <w:rPr/>
        <w:t>в итогах умножения единичных расценок на объем продукции;</w:t>
      </w:r>
    </w:p>
    <w:p>
      <w:pPr>
        <w:pStyle w:val="Style26"/>
        <w:rPr/>
      </w:pPr>
      <w:r>
        <w:rPr/>
        <w:t>в вычислении суммы НДС и итоговой стоимости заявки с учетом НДС;</w:t>
      </w:r>
    </w:p>
    <w:p>
      <w:pPr>
        <w:pStyle w:val="Style26"/>
        <w:rPr/>
      </w:pPr>
      <w:r>
        <w:rPr/>
        <w:t>иных внутренних противоречий в составе заявки,</w:t>
      </w:r>
    </w:p>
    <w:p>
      <w:pPr>
        <w:pStyle w:val="Style29"/>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5"/>
        <w:keepNext w:val="true"/>
        <w:rPr/>
      </w:pPr>
      <w:bookmarkStart w:id="147"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47"/>
    </w:p>
    <w:p>
      <w:pPr>
        <w:pStyle w:val="Style26"/>
        <w:rPr/>
      </w:pPr>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7"/>
        <w:rPr/>
      </w:pPr>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7"/>
        <w:rPr/>
      </w:pPr>
      <w:r>
        <w:rPr/>
        <w:t>внутренних противоречий между различными частями и (или) документами заявки, в том числе по тексту внутри одного документа;</w:t>
      </w:r>
    </w:p>
    <w:p>
      <w:pPr>
        <w:pStyle w:val="Style27"/>
        <w:rPr/>
      </w:pPr>
      <w:r>
        <w:rPr/>
        <w:t>противоречий между документами заявки и сведениями, указанными Участником в структурированных формах на ЭП;</w:t>
      </w:r>
    </w:p>
    <w:p>
      <w:pPr>
        <w:pStyle w:val="Style26"/>
        <w:rPr/>
      </w:pPr>
      <w:r>
        <w:rPr/>
        <w:t>несоответствие Участников требованиям Документации о закупке;</w:t>
      </w:r>
    </w:p>
    <w:p>
      <w:pPr>
        <w:pStyle w:val="Style26"/>
        <w:rPr/>
      </w:pPr>
      <w:r>
        <w:rPr/>
        <w:t>несоответствие привлекаемых субподрядчиков (соисполнителей) требованиям Документации о закупке;</w:t>
      </w:r>
    </w:p>
    <w:p>
      <w:pPr>
        <w:pStyle w:val="Style26"/>
        <w:rPr/>
      </w:pPr>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6"/>
        <w:rPr/>
      </w:pPr>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6"/>
        <w:rPr/>
      </w:pPr>
      <w:r>
        <w:rPr/>
        <w:t>несоответствие размера, формы, условий и порядка предоставления обеспечения заявки.</w:t>
      </w:r>
    </w:p>
    <w:p>
      <w:pPr>
        <w:pStyle w:val="Style25"/>
        <w:rPr/>
      </w:pPr>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_Ref125359973 \r \h </w:instrText>
      </w:r>
      <w:r>
        <w:rPr/>
        <w:fldChar w:fldCharType="separate"/>
      </w:r>
      <w:r>
        <w:rPr/>
        <w:t>1.2</w:t>
      </w:r>
      <w:r>
        <w:rPr/>
        <w:fldChar w:fldCharType="end"/>
      </w:r>
      <w:r>
        <w:rPr/>
        <w:t>,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5"/>
        <w:keepNext w:val="true"/>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присваиваемые Оператором ЭП;</w:t>
      </w:r>
    </w:p>
    <w:p>
      <w:pPr>
        <w:pStyle w:val="Style26"/>
        <w:keepNext w:val="true"/>
        <w:rPr/>
      </w:pPr>
      <w:r>
        <w:rPr/>
        <w:t>результаты рассмотрения заявок с указанием, в том числе:</w:t>
      </w:r>
    </w:p>
    <w:p>
      <w:pPr>
        <w:pStyle w:val="Style27"/>
        <w:rPr/>
      </w:pPr>
      <w:r>
        <w:rPr/>
        <w:t>количества заявок, которые были отклонены;</w:t>
      </w:r>
    </w:p>
    <w:p>
      <w:pPr>
        <w:pStyle w:val="Style27"/>
        <w:rPr/>
      </w:pPr>
      <w:r>
        <w:rPr/>
        <w:t>оснований отклонения каждой заявки с указанием положений Документации о закупке, которым не соответствует такая заявка;</w:t>
      </w:r>
    </w:p>
    <w:p>
      <w:pPr>
        <w:pStyle w:val="Style26"/>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6"/>
        <w:keepNext w:val="true"/>
        <w:rPr/>
      </w:pPr>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7"/>
        <w:rPr/>
      </w:pPr>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7"/>
        <w:rPr/>
      </w:pPr>
      <w:r>
        <w:rPr/>
        <w:t>порядкового номера каждой допущенной заявки в предварительной ранжировке заявок, включая стоимость заявки (цену Договора);</w:t>
      </w:r>
    </w:p>
    <w:p>
      <w:pPr>
        <w:pStyle w:val="Style26"/>
        <w:rPr/>
      </w:pPr>
      <w:bookmarkStart w:id="148" w:name="_Ref125551524"/>
      <w:r>
        <w:rPr/>
        <w:t>решение о проведении или непроведении переторжки,</w:t>
      </w:r>
      <w:bookmarkEnd w:id="148"/>
    </w:p>
    <w:p>
      <w:pPr>
        <w:pStyle w:val="Style29"/>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5"/>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5"/>
        <w:rPr/>
      </w:pPr>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5"/>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4"/>
        <w:rPr/>
      </w:pPr>
      <w:bookmarkStart w:id="149" w:name="_Toc187767964"/>
      <w:bookmarkStart w:id="150" w:name="_Ref125362610"/>
      <w:bookmarkStart w:id="151" w:name="_Ref125362464"/>
      <w:bookmarkStart w:id="152" w:name="_Ref125362425"/>
      <w:bookmarkStart w:id="153" w:name="_Ref125362381"/>
      <w:r>
        <w:rPr/>
        <w:t>Дополнительные запросы разъяснений заявок</w:t>
      </w:r>
      <w:bookmarkEnd w:id="149"/>
      <w:bookmarkEnd w:id="150"/>
      <w:bookmarkEnd w:id="151"/>
      <w:bookmarkEnd w:id="152"/>
      <w:bookmarkEnd w:id="153"/>
    </w:p>
    <w:p>
      <w:pPr>
        <w:pStyle w:val="Style25"/>
        <w:rPr/>
      </w:pPr>
      <w:bookmarkStart w:id="154" w:name="_Ref125365611"/>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54"/>
    </w:p>
    <w:p>
      <w:pPr>
        <w:pStyle w:val="Style26"/>
        <w:keepNext w:val="true"/>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7"/>
        <w:rPr/>
      </w:pPr>
      <w:r>
        <w:rPr/>
        <w:t>соответствия Участника требованиям Документации о закупке;</w:t>
      </w:r>
    </w:p>
    <w:p>
      <w:pPr>
        <w:pStyle w:val="Style27"/>
        <w:rPr/>
      </w:pPr>
      <w:r>
        <w:rPr/>
        <w:t>наличия соответствующих полномочий на подписание заявки от имени Участника у лица, подписавшего заявку;</w:t>
      </w:r>
    </w:p>
    <w:p>
      <w:pPr>
        <w:pStyle w:val="Style27"/>
        <w:rPr/>
      </w:pPr>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6"/>
        <w:rPr/>
      </w:pPr>
      <w:bookmarkStart w:id="155"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6"/>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55"/>
    </w:p>
    <w:p>
      <w:pPr>
        <w:pStyle w:val="Style25"/>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5"/>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5"/>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5"/>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5"/>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5"/>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5"/>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4"/>
        <w:rPr/>
      </w:pPr>
      <w:bookmarkStart w:id="156" w:name="_Ref127536359"/>
      <w:bookmarkStart w:id="157" w:name="_Toc187767965"/>
      <w:bookmarkStart w:id="158" w:name="_Ref125362430"/>
      <w:bookmarkStart w:id="159" w:name="_Ref125362537"/>
      <w:r>
        <w:rPr/>
        <w:t>Переторжка</w:t>
      </w:r>
      <w:bookmarkEnd w:id="156"/>
      <w:bookmarkEnd w:id="157"/>
      <w:bookmarkEnd w:id="158"/>
      <w:bookmarkEnd w:id="159"/>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pPr>
        <w:pStyle w:val="Style25"/>
        <w:rPr/>
      </w:pPr>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5"/>
        <w:keepNext w:val="true"/>
        <w:rPr/>
      </w:pPr>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6"/>
        <w:rPr/>
      </w:pPr>
      <w:r>
        <w:rPr/>
        <w:t>стоимость заявки (цена Договора) / цена за единицу продукции;</w:t>
      </w:r>
    </w:p>
    <w:p>
      <w:pPr>
        <w:pStyle w:val="Style26"/>
        <w:rPr/>
      </w:pPr>
      <w:r>
        <w:rPr/>
        <w:t>сроки поставки продукции;</w:t>
      </w:r>
    </w:p>
    <w:p>
      <w:pPr>
        <w:pStyle w:val="Style26"/>
        <w:rPr/>
      </w:pPr>
      <w:r>
        <w:rPr/>
        <w:t>условия оплаты;</w:t>
      </w:r>
    </w:p>
    <w:p>
      <w:pPr>
        <w:pStyle w:val="Style26"/>
        <w:rPr/>
      </w:pPr>
      <w:r>
        <w:rPr/>
        <w:t>иные условия, которые являются критериями оценки заявок.</w:t>
      </w:r>
    </w:p>
    <w:p>
      <w:pPr>
        <w:pStyle w:val="Style29"/>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5"/>
        <w:rPr/>
      </w:pPr>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5"/>
        <w:rPr/>
      </w:pPr>
      <w:r>
        <w:rPr/>
        <w:t>В переторжке может принять участие любой Участник, заявка которого не была отклонена по результатам рассмотрения заявок.</w:t>
      </w:r>
    </w:p>
    <w:p>
      <w:pPr>
        <w:pStyle w:val="Style25"/>
        <w:rPr/>
      </w:pPr>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5"/>
        <w:rPr/>
      </w:pPr>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5"/>
        <w:rPr/>
      </w:pPr>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5"/>
        <w:rPr/>
      </w:pPr>
      <w:r>
        <w:rPr/>
        <w:t>Участник не вправе изменять и (или) отзывать поданные предложения на переторжку после окончания ее проведения.</w:t>
      </w:r>
    </w:p>
    <w:p>
      <w:pPr>
        <w:pStyle w:val="Style25"/>
        <w:rPr/>
      </w:pPr>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5"/>
        <w:rPr/>
      </w:pPr>
      <w:r>
        <w:rPr/>
        <w:t>Процедура переторжки проводится на ЭП в порядке, предусмотренном настоящим подразделом и Регламентом ЭП.</w:t>
      </w:r>
    </w:p>
    <w:p>
      <w:pPr>
        <w:pStyle w:val="Style25"/>
        <w:keepNext w:val="true"/>
        <w:rPr/>
      </w:pPr>
      <w:r>
        <w:rPr/>
        <w:t>В зависимости от правил, предусмотренных Регламентом ЭП, переторжка может проводиться:</w:t>
      </w:r>
    </w:p>
    <w:p>
      <w:pPr>
        <w:pStyle w:val="Style26"/>
        <w:rPr/>
      </w:pPr>
      <w:r>
        <w:rPr/>
        <w:t>в заочной форме путем однократной подачи предложения на переторжку к установленному сроку;</w:t>
      </w:r>
    </w:p>
    <w:p>
      <w:pPr>
        <w:pStyle w:val="Style26"/>
        <w:rPr/>
      </w:pPr>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5"/>
        <w:rPr/>
      </w:pPr>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5"/>
        <w:rPr/>
      </w:pPr>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5"/>
        <w:rPr/>
      </w:pPr>
      <w:bookmarkStart w:id="160" w:name="_Ref136245191"/>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160"/>
    </w:p>
    <w:p>
      <w:pPr>
        <w:pStyle w:val="Style25"/>
        <w:rPr/>
      </w:pPr>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5"/>
        <w:keepNext w:val="true"/>
        <w:rPr/>
      </w:pPr>
      <w:bookmarkStart w:id="161" w:name="_Ref136244167"/>
      <w:r>
        <w:rPr/>
        <w:t>Документы заявки, подлежащие корректировке по результатам переторжки:</w:t>
      </w:r>
      <w:bookmarkEnd w:id="161"/>
    </w:p>
    <w:p>
      <w:pPr>
        <w:pStyle w:val="Style26"/>
        <w:rPr/>
      </w:pPr>
      <w:r>
        <w:rPr/>
        <w:t>Письмо о подаче оферты (форма 2) (</w:t>
      </w:r>
      <w:hyperlink w:anchor="Прил04_ФормыЗаявки">
        <w:r>
          <w:rPr>
            <w:rStyle w:val="Style14"/>
          </w:rPr>
          <w:t>Приложение № 4</w:t>
        </w:r>
      </w:hyperlink>
      <w:r>
        <w:rPr/>
        <w:t>);</w:t>
      </w:r>
    </w:p>
    <w:p>
      <w:pPr>
        <w:pStyle w:val="Style26"/>
        <w:rPr/>
      </w:pPr>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6"/>
        <w:rPr/>
      </w:pPr>
      <w:r>
        <w:rPr/>
        <w:t>План распределения объемов поставки продукции (форма 11) (</w:t>
      </w:r>
      <w:hyperlink w:anchor="Прил04_ФормыЗаявки">
        <w:r>
          <w:rPr>
            <w:rStyle w:val="Style14"/>
          </w:rPr>
          <w:t>Приложение № 4</w:t>
        </w:r>
      </w:hyperlink>
      <w:r>
        <w:rPr/>
        <w:t>) – только если заявка подана Коллективным участником или Генеральным подрядчиком;</w:t>
      </w:r>
    </w:p>
    <w:p>
      <w:pPr>
        <w:pStyle w:val="Style26"/>
        <w:rPr/>
      </w:pPr>
      <w:bookmarkStart w:id="162" w:name="_Ref130376111"/>
      <w:r>
        <w:rPr/>
        <w:t>иной документ, указанный в протоколе закупки (которым назначена переторжка), связанный с предметом проводимой переторжки.</w:t>
      </w:r>
      <w:bookmarkEnd w:id="162"/>
    </w:p>
    <w:p>
      <w:pPr>
        <w:pStyle w:val="Style25"/>
        <w:rPr/>
      </w:pPr>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5"/>
        <w:rPr/>
      </w:pPr>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5"/>
        <w:rPr/>
      </w:pPr>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4"/>
        <w:rPr/>
      </w:pPr>
      <w:bookmarkStart w:id="163" w:name="_Ref125369308"/>
      <w:bookmarkStart w:id="164" w:name="_Ref125369041"/>
      <w:bookmarkStart w:id="165" w:name="_Toc187767966"/>
      <w:bookmarkStart w:id="166" w:name="_Ref125366534"/>
      <w:bookmarkStart w:id="167" w:name="_Ref125362626"/>
      <w:bookmarkStart w:id="168" w:name="_Ref125365519"/>
      <w:bookmarkStart w:id="169" w:name="_Ref125365335"/>
      <w:r>
        <w:rPr/>
        <w:t>Оценка и сопоставление заявок</w:t>
      </w:r>
      <w:bookmarkEnd w:id="163"/>
      <w:bookmarkEnd w:id="164"/>
      <w:bookmarkEnd w:id="165"/>
      <w:bookmarkEnd w:id="166"/>
      <w:bookmarkEnd w:id="167"/>
      <w:bookmarkEnd w:id="168"/>
      <w:bookmarkEnd w:id="169"/>
    </w:p>
    <w:p>
      <w:pPr>
        <w:pStyle w:val="Style25"/>
        <w:rPr/>
      </w:pPr>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5"/>
        <w:rPr/>
      </w:pPr>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6"/>
        <w:rPr/>
      </w:pPr>
      <w:r>
        <w:rPr/>
        <w:t>в соответствии с единственным ценовым критерием оценки (критерием выбора Победителя) – стоимость заявки (цена Договора);</w:t>
      </w:r>
    </w:p>
    <w:p>
      <w:pPr>
        <w:pStyle w:val="Style26"/>
        <w:rPr/>
      </w:pPr>
      <w:r>
        <w:rPr/>
        <w:t>в едином базисе без учета НДС;</w:t>
      </w:r>
    </w:p>
    <w:p>
      <w:pPr>
        <w:pStyle w:val="Style26"/>
        <w:rPr/>
      </w:pPr>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5"/>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5"/>
        <w:rPr/>
      </w:pPr>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5"/>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5"/>
        <w:rPr/>
      </w:pPr>
      <w:r>
        <w:rPr/>
        <w:t>Результаты оценки и сопоставления заявок вносятся в итоговый протокол по результатам закупки.</w:t>
      </w:r>
    </w:p>
    <w:p>
      <w:pPr>
        <w:pStyle w:val="Style24"/>
        <w:rPr/>
      </w:pPr>
      <w:bookmarkStart w:id="170" w:name="_Ref130458671"/>
      <w:bookmarkStart w:id="171" w:name="_Ref125370507"/>
      <w:bookmarkStart w:id="172" w:name="_Ref125369991"/>
      <w:bookmarkStart w:id="173" w:name="_Ref125366064"/>
      <w:bookmarkStart w:id="174" w:name="_Toc187767967"/>
      <w:bookmarkStart w:id="175" w:name="_Ref132894111"/>
      <w:bookmarkStart w:id="176" w:name="_Ref132894106"/>
      <w:bookmarkStart w:id="177" w:name="_Ref130985951"/>
      <w:bookmarkStart w:id="178" w:name="_Ref186217606"/>
      <w:r>
        <w:rPr/>
        <w:t>Применение законодательства о национальном режиме</w:t>
      </w:r>
      <w:bookmarkEnd w:id="170"/>
      <w:bookmarkEnd w:id="171"/>
      <w:bookmarkEnd w:id="172"/>
      <w:bookmarkEnd w:id="173"/>
      <w:bookmarkEnd w:id="174"/>
      <w:bookmarkEnd w:id="175"/>
      <w:bookmarkEnd w:id="176"/>
      <w:bookmarkEnd w:id="177"/>
      <w:bookmarkEnd w:id="178"/>
    </w:p>
    <w:p>
      <w:pPr>
        <w:pStyle w:val="Style25"/>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5"/>
        <w:rPr/>
      </w:pPr>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4"/>
          </w:rPr>
          <w:t>Технических требованиях (Приложение № 1)</w:t>
        </w:r>
      </w:hyperlink>
      <w:r>
        <w:rPr/>
        <w:t>.</w:t>
      </w:r>
    </w:p>
    <w:p>
      <w:pPr>
        <w:pStyle w:val="Style24"/>
        <w:rPr/>
      </w:pPr>
      <w:bookmarkStart w:id="179" w:name="_Ref125367242"/>
      <w:bookmarkStart w:id="180" w:name="_Toc187767968"/>
      <w:bookmarkStart w:id="181" w:name="_Ref125362658"/>
      <w:bookmarkStart w:id="182" w:name="_Ref125366091"/>
      <w:r>
        <w:rPr/>
        <w:t>Подведение итогов закупки (определение Победителя)</w:t>
      </w:r>
      <w:bookmarkEnd w:id="179"/>
      <w:bookmarkEnd w:id="180"/>
      <w:bookmarkEnd w:id="181"/>
      <w:bookmarkEnd w:id="182"/>
    </w:p>
    <w:p>
      <w:pPr>
        <w:pStyle w:val="Style25"/>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5"/>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5"/>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5"/>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5"/>
        <w:keepNext w:val="true"/>
        <w:rPr/>
      </w:pPr>
      <w:bookmarkStart w:id="183"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183"/>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допущенных по результатам рассмотрения заявок, присваиваемые Оператором ЭП;</w:t>
      </w:r>
    </w:p>
    <w:p>
      <w:pPr>
        <w:pStyle w:val="Style26"/>
        <w:keepNext w:val="true"/>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7"/>
        <w:rPr/>
      </w:pPr>
      <w:r>
        <w:rPr/>
        <w:t>количества заявок, которые были отклонены;</w:t>
      </w:r>
    </w:p>
    <w:p>
      <w:pPr>
        <w:pStyle w:val="Style27"/>
        <w:rPr/>
      </w:pPr>
      <w:r>
        <w:rPr/>
        <w:t>оснований отклонения каждой заявки с указанием положений Документации о закупке, которым не соответствует такая заявка;</w:t>
      </w:r>
    </w:p>
    <w:p>
      <w:pPr>
        <w:pStyle w:val="Style26"/>
        <w:rPr/>
      </w:pPr>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6"/>
        <w:rPr/>
      </w:pPr>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6"/>
        <w:rPr/>
      </w:pPr>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6"/>
        <w:rPr/>
      </w:pPr>
      <w:r>
        <w:rPr/>
        <w:t>причины, по которым закупка признана несостоявшейся (в случае ее признания таковой),</w:t>
      </w:r>
    </w:p>
    <w:p>
      <w:pPr>
        <w:pStyle w:val="Style29"/>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5"/>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5"/>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4"/>
        <w:rPr/>
      </w:pPr>
      <w:bookmarkStart w:id="184" w:name="_Ref125364187"/>
      <w:bookmarkStart w:id="185" w:name="_Ref125365305"/>
      <w:bookmarkStart w:id="186" w:name="_Toc187767969"/>
      <w:bookmarkStart w:id="187" w:name="_Ref125366796"/>
      <w:bookmarkStart w:id="188" w:name="_Ref125364149"/>
      <w:bookmarkStart w:id="189" w:name="_Ref125365570"/>
      <w:bookmarkStart w:id="190" w:name="_Ref125366631"/>
      <w:r>
        <w:rPr/>
        <w:t>Признание закупки несостоявшейся</w:t>
      </w:r>
      <w:bookmarkEnd w:id="184"/>
      <w:bookmarkEnd w:id="185"/>
      <w:bookmarkEnd w:id="186"/>
      <w:bookmarkEnd w:id="187"/>
      <w:bookmarkEnd w:id="188"/>
      <w:bookmarkEnd w:id="189"/>
      <w:bookmarkEnd w:id="190"/>
    </w:p>
    <w:p>
      <w:pPr>
        <w:pStyle w:val="Style25"/>
        <w:keepNext w:val="true"/>
        <w:rPr/>
      </w:pPr>
      <w:r>
        <w:rPr/>
        <w:t>Закупка признается несостоявшейся в следующих случаях:</w:t>
      </w:r>
    </w:p>
    <w:p>
      <w:pPr>
        <w:pStyle w:val="Style26"/>
        <w:rPr/>
      </w:pPr>
      <w:r>
        <w:rPr/>
        <w:t>если по окончанию срока подачи заявок поступило менее 2 (двух) заявок (с учетом возможных отзывов заявок);</w:t>
      </w:r>
    </w:p>
    <w:p>
      <w:pPr>
        <w:pStyle w:val="Style26"/>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5"/>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5"/>
        <w:keepNext w:val="true"/>
        <w:rPr/>
      </w:pPr>
      <w:r>
        <w:rPr/>
        <w:t>В случае признания закупки несостоявшейся Заказчик вправе (с учетом условий, предусмотренных Положением о закупке):</w:t>
      </w:r>
    </w:p>
    <w:p>
      <w:pPr>
        <w:pStyle w:val="Style26"/>
        <w:rPr/>
      </w:pPr>
      <w:r>
        <w:rPr/>
        <w:t>принять решение о проведении повторной закупки;</w:t>
      </w:r>
    </w:p>
    <w:p>
      <w:pPr>
        <w:pStyle w:val="Style26"/>
        <w:rPr/>
      </w:pPr>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6"/>
        <w:rPr/>
      </w:pPr>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4"/>
        <w:rPr/>
      </w:pPr>
      <w:bookmarkStart w:id="191" w:name="_Toc187767970"/>
      <w:bookmarkStart w:id="192" w:name="_Ref126141962"/>
      <w:r>
        <w:rPr/>
        <w:t>Отказ от проведения закупки</w:t>
      </w:r>
      <w:bookmarkEnd w:id="192"/>
      <w:r>
        <w:rPr/>
        <w:t xml:space="preserve"> (отмена закупки)</w:t>
      </w:r>
      <w:bookmarkEnd w:id="191"/>
    </w:p>
    <w:p>
      <w:pPr>
        <w:pStyle w:val="Style25"/>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5"/>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5"/>
        <w:rPr/>
      </w:pPr>
      <w:r>
        <w:rPr/>
        <w:t>Дополнительно организатор уведомляет всех Участников об отмене закупки посредством ЭП.</w:t>
      </w:r>
    </w:p>
    <w:p>
      <w:pPr>
        <w:pStyle w:val="Style25"/>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4"/>
        <w:rPr/>
      </w:pPr>
      <w:bookmarkStart w:id="193" w:name="_Toc187767971"/>
      <w:bookmarkStart w:id="194" w:name="_Ref130455226"/>
      <w:r>
        <w:rPr/>
        <w:t>Особенности проведения закупки с необходимостью обеспечения заявки</w:t>
      </w:r>
      <w:bookmarkEnd w:id="193"/>
      <w:bookmarkEnd w:id="194"/>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w:t>
      </w:r>
    </w:p>
    <w:p>
      <w:pPr>
        <w:pStyle w:val="Style25"/>
        <w:rPr/>
      </w:pPr>
      <w:r>
        <w:rPr/>
        <w:t>Обеспечение заявки должно быть зачислено в требуемом размере по реквизитам счета (подраздел </w:t>
      </w:r>
      <w:r>
        <w:rPr/>
        <w:fldChar w:fldCharType="begin"/>
      </w:r>
      <w:r>
        <w:rPr/>
        <w:instrText xml:space="preserve"> REF _Ref125359973 \r \h </w:instrText>
      </w:r>
      <w:r>
        <w:rPr/>
        <w:fldChar w:fldCharType="separate"/>
      </w:r>
      <w:r>
        <w:rPr/>
        <w:t>1.2</w:t>
      </w:r>
      <w:r>
        <w:rPr/>
        <w:fldChar w:fldCharType="end"/>
      </w:r>
      <w:r>
        <w:rP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pPr>
        <w:pStyle w:val="Style25"/>
        <w:rPr/>
      </w:pPr>
      <w:r>
        <w:rPr/>
        <w:t>При многолотовой закупке (подраздел </w:t>
      </w:r>
      <w:r>
        <w:rPr/>
        <w:fldChar w:fldCharType="begin"/>
      </w:r>
      <w:r>
        <w:rPr/>
        <w:instrText xml:space="preserve"> REF _Ref149317414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5"/>
        <w:rPr/>
      </w:pPr>
      <w:r>
        <w:rPr/>
        <w:t>При подаче заявки с альтернативными предложениями (подраздел </w:t>
      </w:r>
      <w:r>
        <w:rPr/>
        <w:fldChar w:fldCharType="begin"/>
      </w:r>
      <w:r>
        <w:rPr/>
        <w:instrText xml:space="preserve"> REF _Ref125550863 \r \h </w:instrText>
      </w:r>
      <w:r>
        <w:rPr/>
        <w:fldChar w:fldCharType="separate"/>
      </w:r>
      <w:r>
        <w:rPr/>
        <w:t>4.19</w:t>
      </w:r>
      <w:r>
        <w:rPr/>
        <w:fldChar w:fldCharType="end"/>
      </w:r>
      <w: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5"/>
        <w:rPr/>
      </w:pPr>
      <w:r>
        <w:rPr/>
        <w:t>Подать заявку (принять участие в закупке) могут только Участники, предоставившие надлежащее обеспечение их заявок.</w:t>
      </w:r>
    </w:p>
    <w:p>
      <w:pPr>
        <w:pStyle w:val="Style25"/>
        <w:rPr/>
      </w:pPr>
      <w:r>
        <w:rPr/>
        <w:t>Требование об обеспечении заявки в равной мере распространяется на всех Участников.</w:t>
      </w:r>
    </w:p>
    <w:p>
      <w:pPr>
        <w:pStyle w:val="Style25"/>
        <w:keepNext w:val="true"/>
        <w:rPr/>
      </w:pPr>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pPr>
        <w:pStyle w:val="Style26"/>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26"/>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Pr>
          <w:t>Проектом договора</w:t>
        </w:r>
      </w:hyperlink>
      <w:r>
        <w:rPr/>
        <w:t>).</w:t>
      </w:r>
    </w:p>
    <w:p>
      <w:pPr>
        <w:pStyle w:val="Style25"/>
        <w:rPr/>
      </w:pPr>
      <w:r>
        <w:rPr/>
        <w:t>В случае невыполнения Победителем указанных выше обязательств Организатор вправе удержать обеспечение заявки.</w:t>
      </w:r>
    </w:p>
    <w:p>
      <w:pPr>
        <w:pStyle w:val="Style25"/>
        <w:keepNext w:val="true"/>
        <w:rPr/>
      </w:pPr>
      <w:r>
        <w:rPr/>
        <w:t>Возврат обеспечения заявки осуществляется Организатором в срок не более 20 (двадцати) рабочих дней с даты:</w:t>
      </w:r>
    </w:p>
    <w:p>
      <w:pPr>
        <w:pStyle w:val="Style26"/>
        <w:rPr/>
      </w:pPr>
      <w:r>
        <w:rPr/>
        <w:t>принятия решения об отказе от проведения закупки – всем Участникам, подавшим заявки к моменту принятия такого решения;</w:t>
      </w:r>
    </w:p>
    <w:p>
      <w:pPr>
        <w:pStyle w:val="Style26"/>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6"/>
        <w:rPr/>
      </w:pPr>
      <w:r>
        <w:rPr/>
        <w:t>официального размещения протокола рассмотрения заявок (при условии его оформления) – Участникам, чьи заявки были отклонены;</w:t>
      </w:r>
    </w:p>
    <w:p>
      <w:pPr>
        <w:pStyle w:val="Style26"/>
        <w:rPr/>
      </w:pPr>
      <w:r>
        <w:rPr/>
        <w:t>официального размещения итогового протокола по результатам закупки – всем Участникам, кроме Победителя;</w:t>
      </w:r>
    </w:p>
    <w:p>
      <w:pPr>
        <w:pStyle w:val="Style26"/>
        <w:rPr/>
      </w:pPr>
      <w:r>
        <w:rPr/>
        <w:t>заключения Договора по результатам закупки – Победителю, с которым заключен Договор;</w:t>
      </w:r>
    </w:p>
    <w:p>
      <w:pPr>
        <w:pStyle w:val="Style26"/>
        <w:rPr/>
      </w:pPr>
      <w:r>
        <w:rPr/>
        <w:t>признания закупки несостоявшейся – Участнику, которому обеспечение не было возвращено по иным основаниям.</w:t>
      </w:r>
    </w:p>
    <w:p>
      <w:pPr>
        <w:pStyle w:val="Style25"/>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4"/>
        <w:rPr/>
      </w:pPr>
      <w:bookmarkStart w:id="195" w:name="_Ref149317414"/>
      <w:bookmarkStart w:id="196" w:name="_Ref130225422"/>
      <w:bookmarkStart w:id="197" w:name="_Toc187767972"/>
      <w:r>
        <w:rPr/>
        <w:t>Особенности проведения многолотовой закупки</w:t>
      </w:r>
      <w:bookmarkEnd w:id="195"/>
      <w:bookmarkEnd w:id="196"/>
      <w:bookmarkEnd w:id="197"/>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5"/>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5"/>
        <w:keepNext w:val="true"/>
        <w:rPr/>
      </w:pPr>
      <w:r>
        <w:rPr/>
        <w:t>В случае подачи заявки на несколько лотов дополнительно должны быть соблюдены следующие требования:</w:t>
      </w:r>
    </w:p>
    <w:p>
      <w:pPr>
        <w:pStyle w:val="Style26"/>
        <w:rPr/>
      </w:pPr>
      <w:r>
        <w:rPr/>
        <w:t>Письмо о подаче оферты (форма 2) (</w:t>
      </w:r>
      <w:hyperlink w:anchor="Прил04_ФормыЗаявки">
        <w:r>
          <w:rPr>
            <w:rStyle w:val="Style14"/>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26"/>
        <w:rPr/>
      </w:pPr>
      <w: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4"/>
          </w:rPr>
          <w:t>Приложение № 4</w:t>
        </w:r>
      </w:hyperlink>
      <w:r>
        <w:rPr/>
        <w:t>, должны быть подготовлены отдельно по каждому из лотов с указанием номера и названия лота.</w:t>
      </w:r>
    </w:p>
    <w:p>
      <w:pPr>
        <w:pStyle w:val="Style25"/>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4"/>
        <w:rPr/>
      </w:pPr>
      <w:bookmarkStart w:id="198" w:name="_Toc187767973"/>
      <w:bookmarkStart w:id="199" w:name="_Ref125550863"/>
      <w:r>
        <w:rPr/>
        <w:t>Особенности проведения закупки с возможностью подачи альтернативных предложений</w:t>
      </w:r>
      <w:bookmarkEnd w:id="198"/>
      <w:bookmarkEnd w:id="199"/>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возможность подачи альтернативных предложений.</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fldChar w:fldCharType="begin"/>
      </w:r>
      <w:r>
        <w:rPr/>
        <w:instrText xml:space="preserve"> REF _Ref125359973 \r \h </w:instrText>
      </w:r>
      <w:r>
        <w:rPr/>
        <w:fldChar w:fldCharType="separate"/>
      </w:r>
      <w:r>
        <w:rPr/>
        <w:t>1.2</w:t>
      </w:r>
      <w:r>
        <w:rPr/>
        <w:fldChar w:fldCharType="end"/>
      </w:r>
      <w: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5"/>
        <w:rPr/>
      </w:pPr>
      <w:r>
        <w:rPr/>
        <w:t>Альтернативные предложения могут сопровождаться альтернативными ценами (не превышающими НМЦ, установленную в подразделе </w:t>
      </w:r>
      <w:r>
        <w:rPr/>
        <w:fldChar w:fldCharType="begin"/>
      </w:r>
      <w:r>
        <w:rPr/>
        <w:instrText xml:space="preserve"> REF _Ref125359973 \r \h </w:instrText>
      </w:r>
      <w:r>
        <w:rPr/>
        <w:fldChar w:fldCharType="separate"/>
      </w:r>
      <w:r>
        <w:rPr/>
        <w:t>1.2</w:t>
      </w:r>
      <w:r>
        <w:rPr/>
        <w:fldChar w:fldCharType="end"/>
      </w:r>
      <w:r>
        <w:rPr/>
        <w:t>). При этом альтернативные предложения, по сути отличающиеся от основного только ценой, рассматриваться не будут.</w:t>
      </w:r>
    </w:p>
    <w:p>
      <w:pPr>
        <w:pStyle w:val="Style25"/>
        <w:rPr/>
      </w:pPr>
      <w: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Pr>
          <w:t>Приложение № 4</w:t>
        </w:r>
      </w:hyperlink>
      <w: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5"/>
        <w:rPr/>
      </w:pPr>
      <w:r>
        <w:rPr/>
        <w:t>При проведении переторжки (подраздел </w:t>
      </w:r>
      <w:r>
        <w:rPr/>
        <w:fldChar w:fldCharType="begin"/>
      </w:r>
      <w:r>
        <w:rPr/>
        <w:instrText xml:space="preserve"> REF _Ref127536359 \r \h </w:instrText>
      </w:r>
      <w:r>
        <w:rPr/>
        <w:fldChar w:fldCharType="separate"/>
      </w:r>
      <w:r>
        <w:rPr/>
        <w:t>4.11</w:t>
      </w:r>
      <w:r>
        <w:rPr/>
        <w:fldChar w:fldCharType="end"/>
      </w:r>
      <w:r>
        <w:rPr/>
        <w:t>) альтернативные предложения Участников допускаются к ней наравне с основными предложениями.</w:t>
      </w:r>
    </w:p>
    <w:p>
      <w:pPr>
        <w:pStyle w:val="Style25"/>
        <w:rPr/>
      </w:pPr>
      <w: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23"/>
        <w:rPr/>
      </w:pPr>
      <w:bookmarkStart w:id="200" w:name="_Ref126142429"/>
      <w:bookmarkStart w:id="201" w:name="_Ref125367087"/>
      <w:bookmarkStart w:id="202" w:name="_Ref125367083"/>
      <w:bookmarkStart w:id="203" w:name="_Ref125363439"/>
      <w:bookmarkStart w:id="204" w:name="_Ref125361212"/>
      <w:bookmarkStart w:id="205" w:name="_Toc187767974"/>
      <w:bookmarkStart w:id="206" w:name="_Ref130224037"/>
      <w:bookmarkStart w:id="207" w:name="_Ref125362671"/>
      <w:bookmarkStart w:id="208" w:name="_Ref125366769"/>
      <w:r>
        <w:rPr/>
        <w:t>Порядок заключения Договора</w:t>
      </w:r>
      <w:bookmarkEnd w:id="200"/>
      <w:bookmarkEnd w:id="201"/>
      <w:bookmarkEnd w:id="202"/>
      <w:bookmarkEnd w:id="203"/>
      <w:bookmarkEnd w:id="204"/>
      <w:bookmarkEnd w:id="205"/>
      <w:bookmarkEnd w:id="206"/>
      <w:bookmarkEnd w:id="207"/>
      <w:bookmarkEnd w:id="208"/>
    </w:p>
    <w:p>
      <w:pPr>
        <w:pStyle w:val="Style24"/>
        <w:rPr/>
      </w:pPr>
      <w:bookmarkStart w:id="209" w:name="_Toc187767975"/>
      <w:bookmarkStart w:id="210" w:name="_Ref139028625"/>
      <w:r>
        <w:rPr/>
        <w:t>Общие положения</w:t>
      </w:r>
      <w:bookmarkEnd w:id="209"/>
      <w:bookmarkEnd w:id="210"/>
    </w:p>
    <w:p>
      <w:pPr>
        <w:pStyle w:val="Style25"/>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4"/>
        <w:rPr/>
      </w:pPr>
      <w:bookmarkStart w:id="211" w:name="_Ref135736094"/>
      <w:bookmarkStart w:id="212" w:name="_Ref125368755"/>
      <w:bookmarkStart w:id="213" w:name="_Ref125366947"/>
      <w:bookmarkStart w:id="214" w:name="_Toc187767976"/>
      <w:bookmarkStart w:id="215" w:name="_Ref138232981"/>
      <w:r>
        <w:rPr/>
        <w:t>Заключение Договора</w:t>
      </w:r>
      <w:bookmarkEnd w:id="211"/>
      <w:bookmarkEnd w:id="212"/>
      <w:bookmarkEnd w:id="213"/>
      <w:bookmarkEnd w:id="214"/>
      <w:bookmarkEnd w:id="215"/>
    </w:p>
    <w:p>
      <w:pPr>
        <w:pStyle w:val="Style25"/>
        <w:rPr/>
      </w:pPr>
      <w:bookmarkStart w:id="216" w:name="_Ref130293821"/>
      <w:bookmarkStart w:id="217" w:name="_Ref125362935"/>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16"/>
      <w:bookmarkEnd w:id="217"/>
    </w:p>
    <w:p>
      <w:pPr>
        <w:pStyle w:val="Style25"/>
        <w:rPr/>
      </w:pPr>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_Ref186217606 \r \h </w:instrText>
      </w:r>
      <w:r>
        <w:rPr/>
        <w:fldChar w:fldCharType="separate"/>
      </w:r>
      <w:r>
        <w:rPr/>
        <w:t>4.13</w:t>
      </w:r>
      <w:r>
        <w:rPr/>
        <w:fldChar w:fldCharType="end"/>
      </w:r>
      <w:r>
        <w:rPr/>
        <w:t>.</w:t>
      </w:r>
    </w:p>
    <w:p>
      <w:pPr>
        <w:pStyle w:val="Style25"/>
        <w:rPr/>
      </w:pPr>
      <w:bookmarkStart w:id="218" w:name="_Ref125363464"/>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18"/>
    </w:p>
    <w:p>
      <w:pPr>
        <w:pStyle w:val="Style25"/>
        <w:keepNext w:val="true"/>
        <w:rPr/>
      </w:pPr>
      <w:bookmarkStart w:id="219" w:name="_Ref125551776"/>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rPr/>
        <w:t>):</w:t>
      </w:r>
      <w:bookmarkEnd w:id="219"/>
    </w:p>
    <w:p>
      <w:pPr>
        <w:pStyle w:val="Style26"/>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6"/>
        <w:rPr/>
      </w:pPr>
      <w:bookmarkStart w:id="220" w:name="_Ref125552642"/>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220"/>
      <w:r>
        <w:rPr/>
        <w:t>.</w:t>
      </w:r>
    </w:p>
    <w:p>
      <w:pPr>
        <w:pStyle w:val="Style25"/>
        <w:keepNext w:val="true"/>
        <w:rPr/>
      </w:pPr>
      <w:bookmarkStart w:id="221"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xml:space="preserve">), следующие документы (скан-копии в формате </w:t>
      </w:r>
      <w:r>
        <w:rPr>
          <w:lang w:val="en-US"/>
        </w:rPr>
        <w:t>pdf</w:t>
      </w:r>
      <w:r>
        <w:rPr/>
        <w:t>)</w:t>
      </w:r>
      <w:r>
        <w:rPr>
          <w:rStyle w:val="FootnoteReference"/>
        </w:rPr>
        <w:footnoteReference w:id="11"/>
      </w:r>
      <w:r>
        <w:rPr/>
        <w:t>:</w:t>
      </w:r>
      <w:bookmarkEnd w:id="221"/>
    </w:p>
    <w:p>
      <w:pPr>
        <w:pStyle w:val="Style26"/>
        <w:keepNext w:val="true"/>
        <w:rPr/>
      </w:pPr>
      <w:r>
        <w:rPr/>
        <w:t>для юридического лица:</w:t>
      </w:r>
    </w:p>
    <w:p>
      <w:pPr>
        <w:pStyle w:val="Style27"/>
        <w:rPr/>
      </w:pPr>
      <w:r>
        <w:rPr/>
        <w:t>копия устава в действующей редакции с отметкой ИФНС либо копия нотариально заверенного устава (с отметкой нотариуса);</w:t>
      </w:r>
    </w:p>
    <w:p>
      <w:pPr>
        <w:pStyle w:val="Style27"/>
        <w:rPr/>
      </w:pPr>
      <w:bookmarkStart w:id="222"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22"/>
    </w:p>
    <w:p>
      <w:pPr>
        <w:pStyle w:val="Style27"/>
        <w:rPr/>
      </w:pPr>
      <w:r>
        <w:rP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pPr>
        <w:pStyle w:val="Style27"/>
        <w:rPr/>
      </w:pPr>
      <w:r>
        <w:rP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pPr>
        <w:pStyle w:val="Style26"/>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6"/>
        <w:rPr/>
      </w:pPr>
      <w:r>
        <w:rPr/>
        <w:t>для физического лица: нотариально заверенная копия всех страниц документа, удостоверяющего личность (паспорта);</w:t>
      </w:r>
    </w:p>
    <w:p>
      <w:pPr>
        <w:pStyle w:val="Style26"/>
        <w:rPr/>
      </w:pPr>
      <w:bookmarkStart w:id="223" w:name="_Ref125361554"/>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223"/>
    </w:p>
    <w:p>
      <w:pPr>
        <w:pStyle w:val="Style25"/>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5"/>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5"/>
        <w:keepNext w:val="true"/>
        <w:rPr/>
      </w:pPr>
      <w:bookmarkStart w:id="224"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4"/>
    </w:p>
    <w:p>
      <w:pPr>
        <w:pStyle w:val="Style26"/>
        <w:rPr/>
      </w:pPr>
      <w:r>
        <w:rPr/>
        <w:t>протокол преддоговорных переговоров между Заказчиком и Победителем (при проведении таковых);</w:t>
      </w:r>
    </w:p>
    <w:p>
      <w:pPr>
        <w:pStyle w:val="Style26"/>
        <w:rPr/>
      </w:pPr>
      <w:r>
        <w:rPr/>
        <w:t>итоговый протокол по результатам закупки;</w:t>
      </w:r>
    </w:p>
    <w:p>
      <w:pPr>
        <w:pStyle w:val="Style26"/>
        <w:rPr/>
      </w:pPr>
      <w:r>
        <w:rPr/>
        <w:t>Извещение и Документация о закупке со всеми изменениями;</w:t>
      </w:r>
    </w:p>
    <w:p>
      <w:pPr>
        <w:pStyle w:val="Style26"/>
        <w:rPr/>
      </w:pPr>
      <w:r>
        <w:rPr/>
        <w:t>заявка Победителя со всеми дополнениями и разъяснениями.</w:t>
      </w:r>
    </w:p>
    <w:p>
      <w:pPr>
        <w:pStyle w:val="Style25"/>
        <w:rPr/>
      </w:pPr>
      <w:bookmarkStart w:id="225"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25"/>
    </w:p>
    <w:p>
      <w:pPr>
        <w:pStyle w:val="Style25"/>
        <w:keepNext w:val="true"/>
        <w:rPr/>
      </w:pPr>
      <w:bookmarkStart w:id="226" w:name="_Ref125552524"/>
      <w:r>
        <w:rPr/>
        <w:t>Если Договор заключается в электронной форме:</w:t>
      </w:r>
    </w:p>
    <w:p>
      <w:pPr>
        <w:pStyle w:val="Style26"/>
        <w:rPr/>
      </w:pPr>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26"/>
      <w:r>
        <w:rPr/>
        <w:t>;</w:t>
      </w:r>
    </w:p>
    <w:p>
      <w:pPr>
        <w:pStyle w:val="Style26"/>
        <w:rPr/>
      </w:pPr>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5"/>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4"/>
        <w:rPr/>
      </w:pPr>
      <w:bookmarkStart w:id="227" w:name="_Toc187767977"/>
      <w:bookmarkStart w:id="228" w:name="_Ref125552570"/>
      <w:r>
        <w:rPr/>
        <w:t>Преддоговорные переговоры</w:t>
      </w:r>
      <w:bookmarkEnd w:id="227"/>
      <w:bookmarkEnd w:id="228"/>
    </w:p>
    <w:p>
      <w:pPr>
        <w:pStyle w:val="Style25"/>
        <w:keepNext w:val="true"/>
        <w:rPr/>
      </w:pPr>
      <w:r>
        <w:rPr/>
        <w:t>Проведение преддоговорных переговоров между Заказчиком и Победителем допускается только в отношении следующих вопросов:</w:t>
      </w:r>
    </w:p>
    <w:p>
      <w:pPr>
        <w:pStyle w:val="Style26"/>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6"/>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6"/>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6"/>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6"/>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5"/>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5"/>
        <w:rPr/>
      </w:pPr>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5"/>
        <w:rPr/>
      </w:pPr>
      <w:r>
        <w:rPr/>
        <w:t>Результаты преддоговорных переговоров фиксируются в форме протокола</w:t>
      </w:r>
      <w:r>
        <w:rPr>
          <w:rStyle w:val="FootnoteReference"/>
        </w:rPr>
        <w:footnoteReference w:id="12"/>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5"/>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4"/>
        <w:rPr/>
      </w:pPr>
      <w:bookmarkStart w:id="229" w:name="_Toc187767978"/>
      <w:bookmarkStart w:id="230" w:name="_Ref125367068"/>
      <w:r>
        <w:rPr/>
        <w:t>Уклонение Победителя от заключения Договора</w:t>
      </w:r>
      <w:bookmarkEnd w:id="229"/>
      <w:bookmarkEnd w:id="230"/>
    </w:p>
    <w:p>
      <w:pPr>
        <w:pStyle w:val="Style25"/>
        <w:keepNext w:val="true"/>
        <w:rPr/>
      </w:pPr>
      <w:r>
        <w:rPr/>
        <w:t>Если Победитель закупки:</w:t>
      </w:r>
    </w:p>
    <w:p>
      <w:pPr>
        <w:pStyle w:val="Style26"/>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6"/>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6"/>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6"/>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6"/>
        <w:rPr/>
      </w:pPr>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5.2.4</w:t>
      </w:r>
      <w:r>
        <w:rPr/>
        <w:fldChar w:fldCharType="end"/>
      </w:r>
      <w:r>
        <w:rPr/>
        <w:t>, или предоставит их с нарушением требований, установленных в Документации о закупке;</w:t>
      </w:r>
    </w:p>
    <w:p>
      <w:pPr>
        <w:pStyle w:val="Style26"/>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6"/>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6"/>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6"/>
        <w:rPr/>
      </w:pPr>
      <w:r>
        <w:rPr/>
        <w:t>не выполнит другие условия, прямо предусмотренные Документацией о закупке,</w:t>
      </w:r>
    </w:p>
    <w:p>
      <w:pPr>
        <w:pStyle w:val="Style29"/>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3"/>
        <w:rPr/>
      </w:pPr>
      <w:bookmarkStart w:id="231" w:name="_Ref125370746"/>
      <w:bookmarkStart w:id="232" w:name="Прил01_ТехТребования"/>
      <w:bookmarkStart w:id="233" w:name="_Ref125370750"/>
      <w:bookmarkStart w:id="234" w:name="_Ref125370843"/>
      <w:bookmarkStart w:id="235" w:name="_Ref125363016"/>
      <w:bookmarkStart w:id="236" w:name="_Toc187767979"/>
      <w:bookmarkStart w:id="237" w:name="_Ref125370732"/>
      <w:bookmarkStart w:id="238" w:name="_Ref125363600"/>
      <w:bookmarkStart w:id="239" w:name="_Ref125364088"/>
      <w:bookmarkStart w:id="240" w:name="_Ref125363034"/>
      <w:bookmarkStart w:id="241" w:name="_Ref125363023"/>
      <w:bookmarkStart w:id="242" w:name="_Ref125363752"/>
      <w:bookmarkStart w:id="243" w:name="_Ref125370741"/>
      <w:bookmarkStart w:id="244" w:name="_Ref125364201"/>
      <w:r>
        <w:rPr/>
        <w:t>Приложение № 1 – Технические требования</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pPr>
        <w:pStyle w:val="Style24"/>
        <w:rPr/>
      </w:pPr>
      <w:bookmarkStart w:id="245" w:name="_Toc187767980"/>
      <w:r>
        <w:rPr/>
        <w:t>Пояснения к Техническим требованиям</w:t>
      </w:r>
      <w:bookmarkEnd w:id="245"/>
    </w:p>
    <w:p>
      <w:pPr>
        <w:pStyle w:val="Style25"/>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3"/>
        <w:rPr/>
      </w:pPr>
      <w:bookmarkStart w:id="246" w:name="_Ref125363605"/>
      <w:bookmarkStart w:id="247" w:name="_Ref125363759"/>
      <w:bookmarkStart w:id="248" w:name="_Ref125364081"/>
      <w:bookmarkStart w:id="249" w:name="_Toc187767981"/>
      <w:bookmarkStart w:id="250" w:name="_Ref125363040"/>
      <w:bookmarkStart w:id="251" w:name="_Ref125361746"/>
      <w:bookmarkStart w:id="252" w:name="_Ref125364206"/>
      <w:bookmarkStart w:id="253" w:name="_Ref125370754"/>
      <w:bookmarkStart w:id="254" w:name="Прил02_ПроектДоговора"/>
      <w:r>
        <w:rPr/>
        <w:t>Приложение № 2 – Проект договора</w:t>
      </w:r>
      <w:bookmarkEnd w:id="246"/>
      <w:bookmarkEnd w:id="247"/>
      <w:bookmarkEnd w:id="248"/>
      <w:bookmarkEnd w:id="249"/>
      <w:bookmarkEnd w:id="250"/>
      <w:bookmarkEnd w:id="251"/>
      <w:bookmarkEnd w:id="252"/>
      <w:bookmarkEnd w:id="253"/>
      <w:bookmarkEnd w:id="254"/>
    </w:p>
    <w:p>
      <w:pPr>
        <w:pStyle w:val="Style24"/>
        <w:rPr/>
      </w:pPr>
      <w:bookmarkStart w:id="255" w:name="_Toc187767982"/>
      <w:r>
        <w:rPr/>
        <w:t>Пояснения к Проекту договора</w:t>
      </w:r>
      <w:bookmarkEnd w:id="255"/>
    </w:p>
    <w:p>
      <w:pPr>
        <w:pStyle w:val="Style25"/>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5"/>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256" w:name="_Hlk132883778"/>
      <w:r>
        <w:rPr/>
        <w:t>как «Некритичные пункты Проекта договора»</w:t>
      </w:r>
      <w:bookmarkEnd w:id="256"/>
      <w:r>
        <w:rPr/>
        <w:t>.</w:t>
      </w:r>
    </w:p>
    <w:p>
      <w:pPr>
        <w:pStyle w:val="Style25"/>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5"/>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57" w:name="_MON_1736255517"/>
      <w:bookmarkEnd w:id="257"/>
    </w:p>
    <w:p>
      <w:pPr>
        <w:sectPr>
          <w:headerReference w:type="default" r:id="rId14"/>
          <w:headerReference w:type="first" r:id="rId15"/>
          <w:footerReference w:type="default" r:id="rId16"/>
          <w:footerReference w:type="first" r:id="rId1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9"/>
        <w:jc w:val="center"/>
        <w:rPr/>
      </w:pPr>
      <w:r>
        <w:rPr/>
        <w:object>
          <v:shapetype id="_x0000_tole_rId12" coordsize="21600,21600" o:spt="ole_rId1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2" type="_x0000_tole_rId12" style="width:79.5pt;height:49.45pt;mso-wrap-distance-right:0pt" filled="f" o:ole="">
            <v:imagedata r:id="rId13" o:title=""/>
          </v:shape>
          <o:OLEObject Type="Embed" ProgID="Word.Document.12" ShapeID="ole_rId12" DrawAspect="Icon" ObjectID="_1485206995" r:id="rId12"/>
        </w:object>
      </w:r>
    </w:p>
    <w:p>
      <w:pPr>
        <w:pStyle w:val="Style23"/>
        <w:rPr/>
      </w:pPr>
      <w:bookmarkStart w:id="258" w:name="Прил03_ТребованияУчастникам"/>
      <w:bookmarkStart w:id="259" w:name="_Toc187767983"/>
      <w:bookmarkStart w:id="260" w:name="_Ref125370013"/>
      <w:bookmarkStart w:id="261" w:name="_Ref125365476"/>
      <w:bookmarkStart w:id="262" w:name="_Ref125361494"/>
      <w:bookmarkStart w:id="263" w:name="_Ref125361908"/>
      <w:r>
        <w:rPr/>
        <w:t>Приложение № 3 – Требования к Участникам</w:t>
      </w:r>
      <w:bookmarkEnd w:id="258"/>
      <w:bookmarkEnd w:id="259"/>
      <w:bookmarkEnd w:id="260"/>
      <w:bookmarkEnd w:id="261"/>
      <w:bookmarkEnd w:id="262"/>
      <w:bookmarkEnd w:id="263"/>
    </w:p>
    <w:p>
      <w:pPr>
        <w:pStyle w:val="Style24"/>
        <w:rPr/>
      </w:pPr>
      <w:bookmarkStart w:id="264" w:name="_Toc187767984"/>
      <w:r>
        <w:rPr/>
        <w:t>Пояснения к требованиям к Участникам</w:t>
      </w:r>
      <w:bookmarkEnd w:id="264"/>
    </w:p>
    <w:p>
      <w:pPr>
        <w:pStyle w:val="Style25"/>
        <w:rPr/>
      </w:pPr>
      <w:bookmarkStart w:id="265" w:name="_Hlk125628168"/>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65"/>
    </w:p>
    <w:p>
      <w:pPr>
        <w:pStyle w:val="Style24"/>
        <w:spacing w:before="360" w:after="120"/>
        <w:rPr/>
      </w:pPr>
      <w:bookmarkStart w:id="266" w:name="_Ref125370064"/>
      <w:bookmarkStart w:id="267" w:name="_Ref125369088"/>
      <w:bookmarkStart w:id="268" w:name="_Ref125370058"/>
      <w:bookmarkStart w:id="269" w:name="_Ref125370071"/>
      <w:bookmarkStart w:id="270" w:name="_Toc187767985"/>
      <w:bookmarkStart w:id="271" w:name="_Ref125361435"/>
      <w:bookmarkStart w:id="272" w:name="_Ref125368812"/>
      <w:bookmarkStart w:id="273" w:name="_Ref125368895"/>
      <w:bookmarkStart w:id="274" w:name="_Ref125361590"/>
      <w:bookmarkStart w:id="275" w:name="_Ref125361617"/>
      <w:bookmarkStart w:id="276" w:name="_Ref125361846"/>
      <w:bookmarkStart w:id="277" w:name="_Ref125361926"/>
      <w:bookmarkStart w:id="278" w:name="_Ref125361832"/>
      <w:bookmarkStart w:id="279" w:name="_Ref125366879"/>
      <w:r>
        <w:rPr/>
        <w:t>Обязательные требования</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Style w:val="af4"/>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0" w:name="_Ref125552433"/>
            <w:bookmarkStart w:id="281" w:name="_Ref125552433"/>
            <w:bookmarkEnd w:id="281"/>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9"/>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29"/>
              <w:widowControl w:val="false"/>
              <w:numPr>
                <w:ilvl w:val="0"/>
                <w:numId w:val="13"/>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29"/>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29"/>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29"/>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9"/>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29"/>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9"/>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2" w:name="_Ref139028406"/>
            <w:bookmarkStart w:id="283" w:name="_Ref139028406"/>
            <w:bookmarkEnd w:id="283"/>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3"/>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4" w:name="_Ref186217850"/>
            <w:bookmarkStart w:id="285" w:name="_Ref186217850"/>
            <w:bookmarkEnd w:id="285"/>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9"/>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6" w:name="_Ref186217855"/>
            <w:bookmarkStart w:id="287" w:name="_Ref186217855"/>
            <w:bookmarkEnd w:id="287"/>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4"/>
        <w:spacing w:before="360" w:after="120"/>
        <w:rPr/>
      </w:pPr>
      <w:bookmarkStart w:id="288" w:name="_Ref125709153"/>
      <w:bookmarkStart w:id="289" w:name="_Ref125361442"/>
      <w:bookmarkStart w:id="290" w:name="_Ref125361633"/>
      <w:bookmarkStart w:id="291" w:name="_Ref125709888"/>
      <w:bookmarkStart w:id="292" w:name="_Ref125709401"/>
      <w:bookmarkStart w:id="293" w:name="_Ref125709250"/>
      <w:bookmarkStart w:id="294" w:name="_Ref125370079"/>
      <w:bookmarkStart w:id="295" w:name="_Ref125369099"/>
      <w:bookmarkStart w:id="296" w:name="_Ref125368818"/>
      <w:bookmarkStart w:id="297" w:name="_Ref125367521"/>
      <w:bookmarkStart w:id="298" w:name="_Ref125365459"/>
      <w:bookmarkStart w:id="299" w:name="_Ref125361937"/>
      <w:bookmarkStart w:id="300" w:name="_Ref125361869"/>
      <w:bookmarkStart w:id="301" w:name="_Ref125361671"/>
      <w:bookmarkStart w:id="302" w:name="_Toc187767986"/>
      <w:bookmarkStart w:id="303" w:name="_Ref125367539"/>
      <w:bookmarkStart w:id="304" w:name="_Ref125368901"/>
      <w:bookmarkStart w:id="305" w:name="_Ref125368916"/>
      <w:r>
        <w:rPr/>
        <w:t>Специальные требования</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tbl>
      <w:tblPr>
        <w:tblStyle w:val="af4"/>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Normal"/>
              <w:widowControl w:val="false"/>
              <w:tabs>
                <w:tab w:val="clear" w:pos="708"/>
                <w:tab w:val="left" w:pos="74" w:leader="none"/>
              </w:tabs>
              <w:suppressAutoHyphens w:val="tru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соответствии со ст. 48.4 Градостроительного кодекса РФ от 29.12.2004 № 190-ФЗ (ред. от 23.03.2026):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Normal"/>
              <w:widowControl w:val="false"/>
              <w:tabs>
                <w:tab w:val="clear" w:pos="708"/>
                <w:tab w:val="left" w:pos="74" w:leader="none"/>
              </w:tabs>
              <w:suppressAutoHyphens w:val="tru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 </w:t>
            </w:r>
            <w:r>
              <w:rPr>
                <w:rFonts w:eastAsia="Calibri" w:cs=""/>
                <w:kern w:val="0"/>
                <w:sz w:val="26"/>
                <w:szCs w:val="22"/>
                <w:lang w:val="ru-RU" w:eastAsia="en-US" w:bidi="ar-SA"/>
              </w:rPr>
              <w:t>осуществляющих подготовку проектной документации,</w:t>
            </w:r>
          </w:p>
          <w:p>
            <w:pPr>
              <w:pStyle w:val="Normal"/>
              <w:widowControl w:val="false"/>
              <w:tabs>
                <w:tab w:val="clear" w:pos="708"/>
                <w:tab w:val="left" w:pos="74" w:leader="none"/>
              </w:tabs>
              <w:suppressAutoHyphens w:val="tru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и иметь право выполнять работы в отношении особо опасных, технически сложных и уникальных объектов капитального строительства (кроме объектов использования атомной энергии).</w:t>
            </w:r>
          </w:p>
          <w:p>
            <w:pPr>
              <w:pStyle w:val="Normal"/>
              <w:widowControl w:val="false"/>
              <w:tabs>
                <w:tab w:val="clear" w:pos="708"/>
                <w:tab w:val="left" w:pos="74" w:leader="none"/>
              </w:tabs>
              <w:suppressAutoHyphens w:val="tru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 этом:</w:t>
            </w:r>
          </w:p>
          <w:p>
            <w:pPr>
              <w:pStyle w:val="Normal"/>
              <w:widowControl w:val="false"/>
              <w:tabs>
                <w:tab w:val="clear" w:pos="708"/>
                <w:tab w:val="left" w:pos="74" w:leader="none"/>
              </w:tabs>
              <w:suppressAutoHyphens w:val="tru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подготовки проектной документации:</w:t>
            </w:r>
          </w:p>
          <w:p>
            <w:pPr>
              <w:pStyle w:val="Normal"/>
              <w:widowControl w:val="false"/>
              <w:tabs>
                <w:tab w:val="clear" w:pos="708"/>
                <w:tab w:val="left" w:pos="74" w:leader="none"/>
              </w:tabs>
              <w:suppressAutoHyphens w:val="tru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 </w:t>
            </w:r>
            <w:r>
              <w:rPr>
                <w:rFonts w:eastAsia="Calibri" w:cs=""/>
                <w:kern w:val="0"/>
                <w:sz w:val="26"/>
                <w:szCs w:val="22"/>
                <w:lang w:val="ru-RU" w:eastAsia="en-US" w:bidi="ar-SA"/>
              </w:rPr>
              <w:t>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Normal"/>
              <w:widowControl w:val="false"/>
              <w:tabs>
                <w:tab w:val="clear" w:pos="708"/>
                <w:tab w:val="left" w:pos="74" w:leader="none"/>
              </w:tabs>
              <w:suppressAutoHyphens w:val="true"/>
              <w:spacing w:before="60" w:after="60"/>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 </w:t>
            </w:r>
            <w:r>
              <w:rPr>
                <w:rFonts w:eastAsia="Calibri" w:cs=""/>
                <w:kern w:val="0"/>
                <w:sz w:val="26"/>
                <w:szCs w:val="22"/>
                <w:lang w:val="ru-RU" w:eastAsia="en-US" w:bidi="ar-SA"/>
              </w:rPr>
              <w:t>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Предоставление документов не требуется.</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    • </w:t>
            </w:r>
            <w:r>
              <w:rPr>
                <w:rFonts w:eastAsia="Calibri" w:cs=""/>
                <w:kern w:val="0"/>
                <w:sz w:val="26"/>
                <w:szCs w:val="22"/>
                <w:lang w:val="ru-RU" w:eastAsia="en-US" w:bidi="ar-SA"/>
              </w:rPr>
              <w:t>Национальное объединение строителей НОСТРОЙ - сервис «Единый реестр членов СРО» (https://reestr.nostroy.ru/sro/all/member/list); строительство, реконструкция, капитальный ремонт объектов капитального строительства Национальное объединение изыскателей и проектировщиков НОПРИЗ - сервис «Единый реестр членов СРО» (http://nopriz.ru/nreesters/elektronnyy-reestr/).</w:t>
            </w:r>
          </w:p>
        </w:tc>
      </w:tr>
    </w:tbl>
    <w:p>
      <w:pPr>
        <w:pStyle w:val="Style24"/>
        <w:spacing w:before="360" w:after="120"/>
        <w:rPr/>
      </w:pPr>
      <w:bookmarkStart w:id="306" w:name="_Toc187767987"/>
      <w:bookmarkStart w:id="307" w:name="_Ref125709895"/>
      <w:bookmarkStart w:id="308" w:name="_Ref125709256"/>
      <w:bookmarkStart w:id="309" w:name="_Ref125553296"/>
      <w:bookmarkStart w:id="310" w:name="_Ref125550353"/>
      <w:bookmarkStart w:id="311" w:name="_Ref125709154"/>
      <w:bookmarkStart w:id="312" w:name="_Ref125553681"/>
      <w:bookmarkStart w:id="313" w:name="_Ref125553475"/>
      <w:bookmarkStart w:id="314" w:name="_Ref125553242"/>
      <w:bookmarkStart w:id="315" w:name="_Ref125709541"/>
      <w:bookmarkStart w:id="316" w:name="_Ref125550270"/>
      <w:r>
        <w:rPr/>
        <w:t>Квалификационные требования</w:t>
      </w:r>
      <w:bookmarkEnd w:id="306"/>
      <w:bookmarkEnd w:id="307"/>
      <w:bookmarkEnd w:id="308"/>
      <w:bookmarkEnd w:id="309"/>
      <w:bookmarkEnd w:id="310"/>
      <w:bookmarkEnd w:id="311"/>
      <w:bookmarkEnd w:id="312"/>
      <w:bookmarkEnd w:id="313"/>
      <w:bookmarkEnd w:id="314"/>
      <w:bookmarkEnd w:id="315"/>
      <w:bookmarkEnd w:id="316"/>
    </w:p>
    <w:tbl>
      <w:tblPr>
        <w:tblStyle w:val="af4"/>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10"/>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27"/>
              <w:widowControl w:val="false"/>
              <w:numPr>
                <w:ilvl w:val="0"/>
                <w:numId w:val="0"/>
              </w:numPr>
              <w:suppressAutoHyphens w:val="true"/>
              <w:spacing w:before="60" w:after="60"/>
              <w:ind w:left="0" w:hanging="0"/>
              <w:rPr>
                <w:rStyle w:val="Style14"/>
                <w:b/>
              </w:rPr>
            </w:pPr>
            <w:r>
              <w:rPr>
                <w:rStyle w:val="Docdata"/>
                <w:rFonts w:eastAsia="Calibri" w:cs=""/>
                <w:color w:val="000000"/>
                <w:kern w:val="0"/>
                <w:sz w:val="26"/>
                <w:szCs w:val="22"/>
                <w:lang w:val="ru-RU" w:eastAsia="en-US" w:bidi="ar-SA"/>
              </w:rPr>
              <w:t>Опыт выполнения работ</w:t>
            </w:r>
          </w:p>
        </w:tc>
        <w:tc>
          <w:tcPr>
            <w:tcW w:w="8327" w:type="dxa"/>
            <w:tcBorders/>
          </w:tcPr>
          <w:p>
            <w:pPr>
              <w:pStyle w:val="Style29"/>
              <w:widowControl w:val="false"/>
              <w:suppressAutoHyphens w:val="true"/>
              <w:spacing w:before="60" w:after="60"/>
              <w:rPr/>
            </w:pPr>
            <w:r>
              <w:rPr>
                <w:rFonts w:eastAsia="Calibri" w:cs=""/>
                <w:color w:val="000000"/>
                <w:kern w:val="0"/>
                <w:sz w:val="26"/>
                <w:szCs w:val="22"/>
                <w:lang w:val="ru-RU" w:eastAsia="en-US" w:bidi="ar-SA"/>
              </w:rPr>
              <w:t>Требования к наличию опыта:</w:t>
            </w:r>
          </w:p>
          <w:p>
            <w:pPr>
              <w:pStyle w:val="Style29"/>
              <w:widowControl w:val="false"/>
              <w:suppressAutoHyphens w:val="true"/>
              <w:spacing w:before="60" w:after="60"/>
              <w:rPr/>
            </w:pPr>
            <w:r>
              <w:rPr>
                <w:rFonts w:eastAsia="Calibri" w:cs=""/>
                <w:color w:val="000000"/>
                <w:kern w:val="0"/>
                <w:sz w:val="26"/>
                <w:szCs w:val="22"/>
                <w:lang w:val="ru-RU" w:eastAsia="en-US" w:bidi="ar-SA"/>
              </w:rPr>
              <w:t>Наличие у участника совокупного опыта (в рамках одного или нескольких договоров) выполнения работ по разработке проектной и рабочей документации устройств противоаварийной автоматики на ВЛ330кВ и более, при этом за последние 5 (пять) лет, предшествующих дате подачи заявки участником, должны быть исполнены обязательства в совокупном (суммарном) объеме не менее 40 % от размера НМЦ лота, указанной в Извещении, с учетом правопреемства.</w:t>
            </w:r>
          </w:p>
          <w:p>
            <w:pPr>
              <w:pStyle w:val="Style29"/>
              <w:widowControl w:val="false"/>
              <w:suppressAutoHyphens w:val="true"/>
              <w:spacing w:before="60" w:after="60"/>
              <w:rPr/>
            </w:pPr>
            <w:r>
              <w:rPr>
                <w:rFonts w:eastAsia="Calibri" w:cs=""/>
                <w:color w:val="000000"/>
                <w:kern w:val="0"/>
                <w:sz w:val="26"/>
                <w:szCs w:val="22"/>
                <w:lang w:val="ru-RU" w:eastAsia="en-US" w:bidi="ar-SA"/>
              </w:rPr>
              <w:t>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«Справка об опыте Участника» (форма 7) (</w:t>
            </w:r>
            <w:hyperlink w:anchor="Прил04_ФормыЗаявки">
              <w:r>
                <w:rPr>
                  <w:rStyle w:val="Style14"/>
                  <w:rFonts w:eastAsia="Calibri" w:cs=""/>
                  <w:color w:val="000000"/>
                  <w:kern w:val="0"/>
                  <w:sz w:val="26"/>
                  <w:szCs w:val="22"/>
                  <w:lang w:val="ru-RU" w:eastAsia="en-US" w:bidi="ar-SA"/>
                </w:rPr>
                <w:t>Приложение № 4</w:t>
              </w:r>
            </w:hyperlink>
            <w:r>
              <w:rPr>
                <w:rFonts w:eastAsia="Calibri" w:cs=""/>
                <w:color w:val="000000"/>
                <w:kern w:val="0"/>
                <w:sz w:val="26"/>
                <w:szCs w:val="22"/>
                <w:lang w:val="ru-RU" w:eastAsia="en-US" w:bidi="ar-SA"/>
              </w:rPr>
              <w:t>), приведенной в Документации о закупке с обязательным предоставлением подтверждающих наличие требуемого опыта документов, а именно:</w:t>
            </w:r>
          </w:p>
          <w:p>
            <w:pPr>
              <w:pStyle w:val="Style29"/>
              <w:widowControl w:val="false"/>
              <w:suppressAutoHyphens w:val="true"/>
              <w:spacing w:before="60" w:after="60"/>
              <w:rPr/>
            </w:pPr>
            <w:r>
              <w:rPr>
                <w:rFonts w:eastAsia="Calibri" w:cs=""/>
                <w:color w:val="000000"/>
                <w:kern w:val="0"/>
                <w:sz w:val="26"/>
                <w:szCs w:val="22"/>
                <w:lang w:val="ru-RU" w:eastAsia="en-US" w:bidi="ar-SA"/>
              </w:rPr>
              <w:t xml:space="preserve">    • </w:t>
            </w:r>
            <w:r>
              <w:rPr>
                <w:rFonts w:eastAsia="Calibri" w:cs=""/>
                <w:color w:val="000000"/>
                <w:kern w:val="0"/>
                <w:sz w:val="26"/>
                <w:szCs w:val="22"/>
                <w:lang w:val="ru-RU" w:eastAsia="en-US" w:bidi="ar-SA"/>
              </w:rPr>
              <w:t>копии договоров, подписанных с обеих сторон;</w:t>
            </w:r>
          </w:p>
          <w:p>
            <w:pPr>
              <w:pStyle w:val="Style29"/>
              <w:widowControl w:val="false"/>
              <w:suppressAutoHyphens w:val="true"/>
              <w:spacing w:before="60" w:after="60"/>
              <w:rPr/>
            </w:pPr>
            <w:r>
              <w:rPr>
                <w:rFonts w:eastAsia="Calibri" w:cs=""/>
                <w:color w:val="000000"/>
                <w:kern w:val="0"/>
                <w:sz w:val="26"/>
                <w:szCs w:val="22"/>
                <w:lang w:val="ru-RU" w:eastAsia="en-US" w:bidi="ar-SA"/>
              </w:rPr>
              <w:t xml:space="preserve">    • </w:t>
            </w:r>
            <w:r>
              <w:rPr>
                <w:rFonts w:eastAsia="Calibri" w:cs=""/>
                <w:color w:val="000000"/>
                <w:kern w:val="0"/>
                <w:sz w:val="26"/>
                <w:szCs w:val="22"/>
                <w:lang w:val="ru-RU" w:eastAsia="en-US" w:bidi="ar-SA"/>
              </w:rPr>
              <w:t>копии актов сдачи-приемки работ (иных документов, оформляющих, в соответствии с условиями договора, факт выполнения работ), подписанных с обеих сторон, свидетельствующих о выполнении работ в рамках каждого предоставленного договора;</w:t>
            </w:r>
          </w:p>
          <w:p>
            <w:pPr>
              <w:pStyle w:val="Style29"/>
              <w:widowControl w:val="false"/>
              <w:suppressAutoHyphens w:val="true"/>
              <w:spacing w:before="60" w:after="60"/>
              <w:rPr/>
            </w:pPr>
            <w:r>
              <w:rPr>
                <w:rFonts w:eastAsia="Calibri" w:cs=""/>
                <w:color w:val="000000"/>
                <w:kern w:val="0"/>
                <w:sz w:val="26"/>
                <w:szCs w:val="22"/>
                <w:lang w:val="ru-RU" w:eastAsia="en-US" w:bidi="ar-SA"/>
              </w:rPr>
              <w:t xml:space="preserve">    • </w:t>
            </w:r>
            <w:r>
              <w:rPr>
                <w:rFonts w:eastAsia="Calibri" w:cs=""/>
                <w:color w:val="000000"/>
                <w:kern w:val="0"/>
                <w:sz w:val="26"/>
                <w:szCs w:val="22"/>
                <w:lang w:val="ru-RU" w:eastAsia="en-US" w:bidi="ar-SA"/>
              </w:rPr>
              <w:t>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p>
          <w:p>
            <w:pPr>
              <w:pStyle w:val="Style29"/>
              <w:widowControl w:val="false"/>
              <w:suppressAutoHyphens w:val="true"/>
              <w:spacing w:before="60" w:after="60"/>
              <w:rPr/>
            </w:pPr>
            <w:r>
              <w:rPr>
                <w:rFonts w:eastAsia="Calibri" w:cs=""/>
                <w:color w:val="000000"/>
                <w:kern w:val="0"/>
                <w:sz w:val="26"/>
                <w:szCs w:val="22"/>
                <w:lang w:val="ru-RU" w:eastAsia="en-US" w:bidi="ar-SA"/>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tc>
      </w:tr>
    </w:tbl>
    <w:p>
      <w:pPr>
        <w:pStyle w:val="Style24"/>
        <w:spacing w:before="360" w:after="120"/>
        <w:rPr/>
      </w:pPr>
      <w:bookmarkStart w:id="317" w:name="_Ref125709228"/>
      <w:bookmarkStart w:id="318" w:name="_Ref125552455"/>
      <w:bookmarkStart w:id="319" w:name="_Ref125553500"/>
      <w:bookmarkStart w:id="320" w:name="_Ref125553692"/>
      <w:bookmarkStart w:id="321" w:name="_Toc187767988"/>
      <w:bookmarkStart w:id="322" w:name="_Ref125553703"/>
      <w:r>
        <w:rPr/>
        <w:t>Дополнительные требования к Коллективным участникам</w:t>
      </w:r>
      <w:bookmarkEnd w:id="317"/>
      <w:bookmarkEnd w:id="318"/>
      <w:bookmarkEnd w:id="319"/>
      <w:bookmarkEnd w:id="320"/>
      <w:bookmarkEnd w:id="321"/>
      <w:bookmarkEnd w:id="322"/>
    </w:p>
    <w:tbl>
      <w:tblPr>
        <w:tblStyle w:val="af4"/>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3" w:name="_Ref125370156"/>
            <w:bookmarkStart w:id="324" w:name="_Ref125370156"/>
            <w:bookmarkEnd w:id="324"/>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5" w:name="_Ref125553738"/>
            <w:bookmarkStart w:id="326" w:name="_Ref125553738"/>
            <w:bookmarkEnd w:id="326"/>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7" w:name="_Ref125370162"/>
            <w:bookmarkStart w:id="328" w:name="_Ref125370162"/>
            <w:bookmarkEnd w:id="328"/>
          </w:p>
        </w:tc>
        <w:tc>
          <w:tcPr>
            <w:tcW w:w="5671"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_Ref134705077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4"/>
        <w:spacing w:before="360" w:after="120"/>
        <w:rPr/>
      </w:pPr>
      <w:bookmarkStart w:id="329" w:name="_Ref125361823"/>
      <w:bookmarkStart w:id="330" w:name="_Ref125709973"/>
      <w:bookmarkStart w:id="331" w:name="_Ref125709777"/>
      <w:bookmarkStart w:id="332" w:name="_Ref125370209"/>
      <w:bookmarkStart w:id="333" w:name="_Ref125370180"/>
      <w:bookmarkStart w:id="334" w:name="_Ref125370173"/>
      <w:bookmarkStart w:id="335" w:name="_Ref125369117"/>
      <w:bookmarkStart w:id="336" w:name="_Toc187767989"/>
      <w:bookmarkStart w:id="337" w:name="_Ref125362031"/>
      <w:r>
        <w:rPr/>
        <w:t>Дополнительные требования к Генеральным подрядчикам</w:t>
      </w:r>
      <w:bookmarkEnd w:id="329"/>
      <w:bookmarkEnd w:id="330"/>
      <w:bookmarkEnd w:id="331"/>
      <w:bookmarkEnd w:id="332"/>
      <w:bookmarkEnd w:id="333"/>
      <w:bookmarkEnd w:id="334"/>
      <w:bookmarkEnd w:id="335"/>
      <w:bookmarkEnd w:id="336"/>
      <w:bookmarkEnd w:id="337"/>
    </w:p>
    <w:tbl>
      <w:tblPr>
        <w:tblStyle w:val="af4"/>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8" w:name="_Ref125370187"/>
            <w:bookmarkStart w:id="339" w:name="_Ref125370187"/>
            <w:bookmarkEnd w:id="339"/>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0" w:name="_Ref125370199"/>
            <w:bookmarkStart w:id="341" w:name="_Ref125370199"/>
            <w:bookmarkEnd w:id="341"/>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29"/>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29"/>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2" w:name="_Ref125370193"/>
            <w:bookmarkStart w:id="343" w:name="_Ref125370193"/>
            <w:bookmarkEnd w:id="343"/>
          </w:p>
        </w:tc>
        <w:tc>
          <w:tcPr>
            <w:tcW w:w="5671"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4" w:name="_Ref125553847"/>
            <w:bookmarkStart w:id="345" w:name="_Ref125553847"/>
            <w:bookmarkEnd w:id="345"/>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r>
    </w:tbl>
    <w:p>
      <w:pPr>
        <w:sectPr>
          <w:headerReference w:type="default" r:id="rId18"/>
          <w:headerReference w:type="first" r:id="rId19"/>
          <w:footerReference w:type="default" r:id="rId20"/>
          <w:footerReference w:type="first" r:id="rId2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3"/>
        <w:rPr/>
      </w:pPr>
      <w:bookmarkStart w:id="346" w:name="_Toc187767990"/>
      <w:bookmarkStart w:id="347" w:name="Прил04_ФормыЗаявки"/>
      <w:bookmarkEnd w:id="347"/>
      <w:r>
        <w:rPr/>
        <w:t>Приложение № 4 – Образцы форм документов, включаемых в состав заявки</w:t>
      </w:r>
      <w:bookmarkEnd w:id="346"/>
    </w:p>
    <w:p>
      <w:pPr>
        <w:pStyle w:val="Style24"/>
        <w:rPr/>
      </w:pPr>
      <w:bookmarkStart w:id="348" w:name="_Toc187767991"/>
      <w:r>
        <w:rPr/>
        <w:t>Пояснения к Образцам форм документов, включаемых в состав заявки</w:t>
      </w:r>
      <w:bookmarkEnd w:id="348"/>
    </w:p>
    <w:p>
      <w:pPr>
        <w:pStyle w:val="Style25"/>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3"/>
        <w:rPr/>
      </w:pPr>
      <w:bookmarkStart w:id="349" w:name="_Toc187767992"/>
      <w:bookmarkStart w:id="350" w:name="Прил05_ФормыПобедителя"/>
      <w:bookmarkEnd w:id="350"/>
      <w:r>
        <w:rPr/>
        <w:t>Приложение № 5 – Образцы форм документов, предоставляемых Победителем</w:t>
      </w:r>
      <w:bookmarkEnd w:id="349"/>
    </w:p>
    <w:p>
      <w:pPr>
        <w:pStyle w:val="Style24"/>
        <w:rPr/>
      </w:pPr>
      <w:bookmarkStart w:id="351" w:name="_Toc187767993"/>
      <w:r>
        <w:rPr/>
        <w:t>Пояснения к Образцам форм документов, предоставляемых Победителем</w:t>
      </w:r>
      <w:bookmarkEnd w:id="351"/>
    </w:p>
    <w:p>
      <w:pPr>
        <w:pStyle w:val="Style25"/>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4"/>
        <w:rPr/>
      </w:pPr>
      <w:bookmarkStart w:id="352" w:name="_Toc187767994"/>
      <w:bookmarkStart w:id="353" w:name="_Ref130395470"/>
      <w:r>
        <w:rPr/>
        <w:t>Форма справки «Сведения о цепочке собственников, включая бенефициаров (в том числе конечных)»</w:t>
      </w:r>
      <w:bookmarkEnd w:id="352"/>
      <w:bookmarkEnd w:id="353"/>
    </w:p>
    <w:p>
      <w:pPr>
        <w:pStyle w:val="Style25"/>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5"/>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54" w:name="_MON_1741074142"/>
    </w:p>
    <w:p>
      <w:pPr>
        <w:pStyle w:val="Style29"/>
        <w:jc w:val="center"/>
        <w:rPr/>
      </w:pPr>
      <w:bookmarkEnd w:id="354"/>
      <w:r>
        <w:rPr/>
        <w:object>
          <v:shapetype id="_x0000_tole_rId22" coordsize="21600,21600" o:spt="ole_rId2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2" type="_x0000_tole_rId22" style="width:79.5pt;height:49.45pt;mso-wrap-distance-right:0pt" filled="f" o:ole="">
            <v:imagedata r:id="rId23" o:title=""/>
          </v:shape>
          <o:OLEObject Type="Embed" ProgID="Word.Document.12" ShapeID="ole_rId22" DrawAspect="Icon" ObjectID="_732424430" r:id="rId22"/>
        </w:object>
      </w:r>
    </w:p>
    <w:p>
      <w:pPr>
        <w:pStyle w:val="Style24"/>
        <w:rPr/>
      </w:pPr>
      <w:bookmarkStart w:id="355" w:name="_Toc187767995"/>
      <w:bookmarkStart w:id="356" w:name="_Ref130395475"/>
      <w:r>
        <w:rPr/>
        <w:t>Форма «Заверение об обстоятельствах»</w:t>
      </w:r>
      <w:bookmarkEnd w:id="355"/>
      <w:bookmarkEnd w:id="356"/>
    </w:p>
    <w:p>
      <w:pPr>
        <w:pStyle w:val="Style25"/>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5"/>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5"/>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5"/>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57" w:name="_MON_1741074184"/>
    </w:p>
    <w:p>
      <w:pPr>
        <w:pStyle w:val="Style29"/>
        <w:spacing w:before="120" w:after="120"/>
        <w:jc w:val="center"/>
        <w:rPr/>
      </w:pPr>
      <w:bookmarkEnd w:id="357"/>
      <w:r>
        <w:rPr/>
        <w:object>
          <v:shapetype id="_x0000_tole_rId24" coordsize="21600,21600" o:spt="ole_rId2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4" type="_x0000_tole_rId24" style="width:79.5pt;height:49.45pt;mso-wrap-distance-right:0pt;mso-wrap-distance-bottom:6pt" filled="f" o:ole="">
            <v:imagedata r:id="rId25" o:title=""/>
          </v:shape>
          <o:OLEObject Type="Embed" ProgID="Word.Document.12" ShapeID="ole_rId24" DrawAspect="Icon" ObjectID="_250804386" r:id="rId24"/>
        </w:object>
      </w:r>
    </w:p>
    <w:p>
      <w:pPr>
        <w:pStyle w:val="Style23"/>
        <w:rPr/>
      </w:pPr>
      <w:bookmarkStart w:id="358" w:name="_Ref125362900"/>
      <w:bookmarkStart w:id="359" w:name="_Ref125362865"/>
      <w:bookmarkStart w:id="360" w:name="_Toc187767996"/>
      <w:bookmarkStart w:id="361" w:name="Прил06_СоставЗаявки"/>
      <w:bookmarkEnd w:id="361"/>
      <w:r>
        <w:rPr/>
        <w:t>Приложение № 6 – Состав заявки</w:t>
      </w:r>
      <w:bookmarkEnd w:id="358"/>
      <w:bookmarkEnd w:id="359"/>
      <w:bookmarkEnd w:id="360"/>
    </w:p>
    <w:p>
      <w:pPr>
        <w:pStyle w:val="Style24"/>
        <w:rPr/>
      </w:pPr>
      <w:bookmarkStart w:id="362" w:name="_Toc187767997"/>
      <w:r>
        <w:rPr/>
        <w:t>Состав заявки</w:t>
      </w:r>
      <w:bookmarkEnd w:id="362"/>
    </w:p>
    <w:p>
      <w:pPr>
        <w:pStyle w:val="Style25"/>
        <w:spacing w:before="120" w:after="120"/>
        <w:rPr/>
      </w:pPr>
      <w:r>
        <w:rP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4"/>
          </w:rPr>
          <w:t>Приложении № 4</w:t>
        </w:r>
      </w:hyperlink>
      <w:r>
        <w:rPr/>
        <w:t>):</w:t>
      </w:r>
    </w:p>
    <w:tbl>
      <w:tblPr>
        <w:tblStyle w:val="af4"/>
        <w:tblW w:w="8783" w:type="dxa"/>
        <w:jc w:val="left"/>
        <w:tblInd w:w="1191" w:type="dxa"/>
        <w:tblLayout w:type="fixed"/>
        <w:tblCellMar>
          <w:top w:w="0" w:type="dxa"/>
          <w:left w:w="57" w:type="dxa"/>
          <w:bottom w:w="0" w:type="dxa"/>
          <w:right w:w="57" w:type="dxa"/>
        </w:tblCellMar>
        <w:tblLook w:noVBand="1" w:val="04a0"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Календарный график (форма 5);</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6);</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3" w:name="_Ref130389408"/>
            <w:bookmarkStart w:id="364" w:name="_Ref130389408"/>
            <w:bookmarkEnd w:id="364"/>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5" w:name="_Ref130389413"/>
            <w:bookmarkStart w:id="366" w:name="_Ref130389413"/>
            <w:bookmarkEnd w:id="366"/>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7" w:name="_Ref130389419"/>
            <w:bookmarkStart w:id="368" w:name="_Ref130389419"/>
            <w:bookmarkEnd w:id="368"/>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Документации о закупке;</w:t>
            </w:r>
          </w:p>
          <w:p>
            <w:pPr>
              <w:pStyle w:val="Style29"/>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29"/>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9"/>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не размещаются сведения о бухгалтерской (финансовой) отчетности Участника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оценки финансового состояния (устойчивости) Участника.</w:t>
            </w:r>
          </w:p>
        </w:tc>
      </w:tr>
    </w:tbl>
    <w:p>
      <w:pPr>
        <w:sectPr>
          <w:headerReference w:type="default" r:id="rId26"/>
          <w:headerReference w:type="first" r:id="rId27"/>
          <w:footerReference w:type="default" r:id="rId28"/>
          <w:footerReference w:type="first" r:id="rId2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5"/>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3"/>
        <w:rPr/>
      </w:pPr>
      <w:bookmarkStart w:id="369" w:name="_Toc187767998"/>
      <w:bookmarkStart w:id="370" w:name="_Ref125365264"/>
      <w:bookmarkStart w:id="371" w:name="Прил07_ОтборочныеКритерии"/>
      <w:bookmarkEnd w:id="371"/>
      <w:r>
        <w:rPr/>
        <w:t>Приложение № 7 – Отборочные критерии рассмотрения заявок</w:t>
      </w:r>
      <w:bookmarkEnd w:id="369"/>
      <w:bookmarkEnd w:id="370"/>
    </w:p>
    <w:p>
      <w:pPr>
        <w:pStyle w:val="Style24"/>
        <w:spacing w:before="360" w:after="120"/>
        <w:rPr>
          <w:rStyle w:val="Style11"/>
          <w:i w:val="false"/>
          <w:i w:val="false"/>
          <w:iCs w:val="false"/>
          <w:shd w:fill="auto" w:val="clear"/>
        </w:rPr>
      </w:pPr>
      <w:bookmarkStart w:id="372" w:name="_Toc187767999"/>
      <w:r>
        <w:rPr>
          <w:rStyle w:val="Style11"/>
          <w:i w:val="false"/>
          <w:iCs w:val="false"/>
          <w:shd w:fill="auto" w:val="clear"/>
        </w:rPr>
        <w:t>Отборочные критерии рассмотрения заявок</w:t>
      </w:r>
      <w:bookmarkEnd w:id="372"/>
    </w:p>
    <w:tbl>
      <w:tblPr>
        <w:tblStyle w:val="af4"/>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29"/>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29"/>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_Ref186217850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_Ref186217606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_Ref186217855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_Ref186217606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_Ref125370156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p>
            <w:pPr>
              <w:pStyle w:val="Style29"/>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Юр</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p>
            <w:pPr>
              <w:pStyle w:val="Style29"/>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29"/>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_Ref186217606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_Ref186217606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_Ref186217606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_Ref186217606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29"/>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4"/>
        <w:rPr>
          <w:rStyle w:val="Style11"/>
          <w:i w:val="false"/>
          <w:i w:val="false"/>
          <w:iCs w:val="false"/>
          <w:shd w:fill="auto" w:val="clear"/>
        </w:rPr>
      </w:pPr>
      <w:bookmarkStart w:id="373" w:name="_Toc187768000"/>
      <w:r>
        <w:rPr>
          <w:rStyle w:val="Style11"/>
          <w:i w:val="false"/>
          <w:iCs w:val="false"/>
          <w:shd w:fill="auto" w:val="clear"/>
        </w:rPr>
        <w:t>Дополнительные критерии проверки заявок на соответствие условиям Документации о закупке</w:t>
      </w:r>
      <w:bookmarkEnd w:id="373"/>
    </w:p>
    <w:p>
      <w:pPr>
        <w:pStyle w:val="Style29"/>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4"/>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29"/>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_Ref132894106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9"/>
        <w:keepNext w:val="true"/>
        <w:tabs>
          <w:tab w:val="clear" w:pos="708"/>
          <w:tab w:val="left" w:pos="851" w:leader="none"/>
        </w:tabs>
        <w:spacing w:before="240" w:after="0"/>
        <w:rPr>
          <w:b/>
          <w:bCs/>
        </w:rPr>
      </w:pPr>
      <w:r>
        <w:rPr>
          <w:b/>
          <w:bCs/>
        </w:rPr>
        <w:t>* Направления оценки заявок:</w:t>
      </w:r>
    </w:p>
    <w:p>
      <w:pPr>
        <w:pStyle w:val="Style29"/>
        <w:tabs>
          <w:tab w:val="clear" w:pos="708"/>
          <w:tab w:val="left" w:pos="1134" w:leader="none"/>
        </w:tabs>
        <w:ind w:left="1701" w:hanging="1701"/>
        <w:rPr/>
      </w:pPr>
      <w:r>
        <w:rPr>
          <w:b/>
          <w:bCs/>
        </w:rPr>
        <w:t>Орг</w:t>
      </w:r>
      <w:r>
        <w:rPr/>
        <w:tab/>
        <w:t>–</w:t>
        <w:tab/>
      </w:r>
      <w:bookmarkStart w:id="374" w:name="_Hlk138342484"/>
      <w:r>
        <w:rP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374"/>
      <w:r>
        <w:rPr/>
        <w:t xml:space="preserve">; </w:t>
      </w:r>
      <w:bookmarkStart w:id="375" w:name="_Hlk138342546"/>
      <w:r>
        <w:rPr/>
        <w:t>наличие у Участника статуса «аккредитован», либо статуса «аккредитация не требуется» (или наличие заявки на аккредитацию (при необходимости))</w:t>
      </w:r>
      <w:bookmarkEnd w:id="375"/>
      <w:r>
        <w:rPr/>
        <w:t>,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p>
    <w:p>
      <w:pPr>
        <w:pStyle w:val="Style29"/>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376"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76"/>
      <w:r>
        <w:rPr/>
        <w:t>;</w:t>
      </w:r>
    </w:p>
    <w:p>
      <w:pPr>
        <w:pStyle w:val="Style29"/>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9"/>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sectPr>
          <w:headerReference w:type="default" r:id="rId30"/>
          <w:headerReference w:type="first" r:id="rId31"/>
          <w:footerReference w:type="default" r:id="rId32"/>
          <w:footerReference w:type="first" r:id="rId3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9"/>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3"/>
        <w:rPr/>
      </w:pPr>
      <w:bookmarkStart w:id="377" w:name="_Ref125368165"/>
      <w:bookmarkStart w:id="378" w:name="_Ref125368291"/>
      <w:bookmarkStart w:id="379" w:name="_Ref125368172"/>
      <w:bookmarkStart w:id="380" w:name="_Toc187768001"/>
      <w:bookmarkStart w:id="381" w:name="_Ref125369438"/>
      <w:bookmarkStart w:id="382" w:name="_Ref125369021"/>
      <w:bookmarkStart w:id="383" w:name="_Ref125368331"/>
      <w:bookmarkStart w:id="384" w:name="_Ref125368313"/>
      <w:bookmarkStart w:id="385" w:name="_Ref125368302"/>
      <w:bookmarkStart w:id="386" w:name="_Ref125368140"/>
      <w:bookmarkStart w:id="387" w:name="_Ref125366285"/>
      <w:bookmarkStart w:id="388" w:name="_Ref125366280"/>
      <w:bookmarkStart w:id="389" w:name="_Ref125366013"/>
      <w:bookmarkStart w:id="390" w:name="_Ref125361951"/>
      <w:bookmarkStart w:id="391" w:name="_Ref125361648"/>
      <w:bookmarkStart w:id="392" w:name="_Ref125368184"/>
      <w:bookmarkStart w:id="393" w:name="_Ref125368283"/>
      <w:bookmarkStart w:id="394" w:name="_Ref125368150"/>
      <w:bookmarkStart w:id="395" w:name="Прил08_ПорядокОценки"/>
      <w:bookmarkEnd w:id="395"/>
      <w:r>
        <w:rPr/>
        <w:t>Приложение № 8 – Порядок и критерии оценки и сопоставления заявок</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pPr>
        <w:pStyle w:val="Style24"/>
        <w:rPr/>
      </w:pPr>
      <w:bookmarkStart w:id="396" w:name="_Toc187768002"/>
      <w:r>
        <w:rPr/>
        <w:t>Порядок и критерии оценки и сопоставления заявок</w:t>
      </w:r>
      <w:bookmarkEnd w:id="396"/>
    </w:p>
    <w:p>
      <w:pPr>
        <w:pStyle w:val="Style25"/>
        <w:rPr/>
      </w:pPr>
      <w:r>
        <w:rPr/>
        <w:t>Расчет итоговой оценки предпочтительности каждой заявки, успешно прошедшей отборочную стадию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по следующим критериям оценки и в соответствии со следующим порядком оценки предпочтительности и сопоставления заявок: </w:t>
      </w:r>
    </w:p>
    <w:p>
      <w:pPr>
        <w:pStyle w:val="Style25"/>
        <w:numPr>
          <w:ilvl w:val="0"/>
          <w:numId w:val="0"/>
        </w:numPr>
        <w:ind w:left="1134" w:hanging="0"/>
        <w:rPr/>
      </w:pPr>
      <w:r>
        <w:rPr/>
      </w:r>
    </w:p>
    <w:tbl>
      <w:tblPr>
        <w:tblStyle w:val="af4"/>
        <w:tblW w:w="15309" w:type="dxa"/>
        <w:jc w:val="left"/>
        <w:tblInd w:w="-510" w:type="dxa"/>
        <w:tblLayout w:type="fixed"/>
        <w:tblCellMar>
          <w:top w:w="0" w:type="dxa"/>
          <w:left w:w="57" w:type="dxa"/>
          <w:bottom w:w="0" w:type="dxa"/>
          <w:right w:w="57" w:type="dxa"/>
        </w:tblCellMar>
        <w:tblLook w:noVBand="1" w:val="04a0" w:noHBand="0" w:lastColumn="0" w:firstColumn="1" w:lastRow="0" w:firstRow="1"/>
      </w:tblPr>
      <w:tblGrid>
        <w:gridCol w:w="993"/>
        <w:gridCol w:w="1445"/>
        <w:gridCol w:w="1248"/>
        <w:gridCol w:w="1277"/>
        <w:gridCol w:w="1275"/>
        <w:gridCol w:w="1560"/>
        <w:gridCol w:w="7510"/>
      </w:tblGrid>
      <w:tr>
        <w:trPr>
          <w:cnfStyle w:val="100000000000" w:firstRow="1" w:lastRow="0" w:firstColumn="0" w:lastColumn="0" w:oddVBand="0" w:evenVBand="0" w:oddHBand="0" w:evenHBand="0" w:firstRowFirstColumn="0" w:firstRowLastColumn="0" w:lastRowFirstColumn="0" w:lastRowLastColumn="0"/>
        </w:trPr>
        <w:tc>
          <w:tcPr>
            <w:tcW w:w="993" w:type="dxa"/>
            <w:vMerge w:val="restart"/>
            <w:tcBorders>
              <w:top w:val="single" w:sz="4" w:space="0" w:color="000000"/>
              <w:left w:val="single" w:sz="4" w:space="0" w:color="000000"/>
              <w:bottom w:val="single" w:sz="4" w:space="0" w:color="000000"/>
              <w:right w:val="single" w:sz="4" w:space="0" w:color="000000"/>
            </w:tcBorders>
          </w:tcPr>
          <w:p>
            <w:pPr>
              <w:pStyle w:val="Normal"/>
              <w:keepNext w:val="true"/>
              <w:keepLines w:val="false"/>
              <w:widowControl w:val="false"/>
              <w:suppressAutoHyphens w:val="true"/>
              <w:spacing w:before="40" w:after="40"/>
              <w:jc w:val="center"/>
              <w:rPr>
                <w:rFonts w:eastAsia="Calibri" w:cs="Times New Roman"/>
                <w:sz w:val="20"/>
                <w:szCs w:val="20"/>
              </w:rPr>
            </w:pPr>
            <w:r>
              <w:rPr>
                <w:rFonts w:eastAsia="Calibri" w:cs="Times New Roman"/>
                <w:b/>
                <w:kern w:val="0"/>
                <w:sz w:val="20"/>
                <w:szCs w:val="20"/>
                <w:lang w:val="ru-RU" w:eastAsia="en-US" w:bidi="ar-SA"/>
              </w:rPr>
              <w:t>Номер критерия оценки в</w:t>
            </w:r>
            <w:r>
              <w:rPr>
                <w:rFonts w:eastAsia="Calibri" w:cs="Times New Roman"/>
                <w:b/>
                <w:kern w:val="0"/>
                <w:sz w:val="20"/>
                <w:szCs w:val="20"/>
                <w:lang w:val="en-US" w:eastAsia="en-US" w:bidi="ar-SA"/>
              </w:rPr>
              <w:t> </w:t>
            </w:r>
            <w:r>
              <w:rPr>
                <w:rFonts w:eastAsia="Calibri" w:cs="Times New Roman"/>
                <w:b/>
                <w:kern w:val="0"/>
                <w:sz w:val="20"/>
                <w:szCs w:val="20"/>
                <w:lang w:val="ru-RU" w:eastAsia="en-US" w:bidi="ar-SA"/>
              </w:rPr>
              <w:t>структуре</w:t>
            </w:r>
          </w:p>
        </w:tc>
        <w:tc>
          <w:tcPr>
            <w:tcW w:w="1445" w:type="dxa"/>
            <w:vMerge w:val="restart"/>
            <w:tcBorders>
              <w:top w:val="single" w:sz="4" w:space="0" w:color="000000"/>
              <w:left w:val="single" w:sz="4" w:space="0" w:color="000000"/>
              <w:bottom w:val="single" w:sz="4" w:space="0" w:color="000000"/>
              <w:right w:val="single" w:sz="4" w:space="0" w:color="000000"/>
            </w:tcBorders>
          </w:tcPr>
          <w:p>
            <w:pPr>
              <w:pStyle w:val="Normal"/>
              <w:keepNext w:val="true"/>
              <w:keepLines w:val="false"/>
              <w:widowControl w:val="false"/>
              <w:suppressAutoHyphens w:val="true"/>
              <w:spacing w:before="40" w:after="40"/>
              <w:jc w:val="center"/>
              <w:rPr>
                <w:rFonts w:eastAsia="Calibri" w:cs="Times New Roman"/>
                <w:sz w:val="20"/>
                <w:szCs w:val="20"/>
              </w:rPr>
            </w:pPr>
            <w:r>
              <w:rPr>
                <w:rFonts w:eastAsia="Calibri" w:cs="Times New Roman"/>
                <w:b/>
                <w:kern w:val="0"/>
                <w:sz w:val="20"/>
                <w:szCs w:val="20"/>
                <w:lang w:val="ru-RU" w:eastAsia="en-US" w:bidi="ar-SA"/>
              </w:rPr>
              <w:t>Вид критерия оценки / направление оценки заявок</w:t>
            </w:r>
          </w:p>
        </w:tc>
        <w:tc>
          <w:tcPr>
            <w:tcW w:w="2525" w:type="dxa"/>
            <w:gridSpan w:val="2"/>
            <w:tcBorders>
              <w:top w:val="single" w:sz="4" w:space="0" w:color="000000"/>
              <w:left w:val="single" w:sz="4" w:space="0" w:color="000000"/>
              <w:bottom w:val="single" w:sz="4" w:space="0" w:color="000000"/>
              <w:right w:val="single" w:sz="4" w:space="0" w:color="000000"/>
            </w:tcBorders>
          </w:tcPr>
          <w:p>
            <w:pPr>
              <w:pStyle w:val="Normal"/>
              <w:keepNext w:val="true"/>
              <w:keepLines w:val="false"/>
              <w:widowControl w:val="false"/>
              <w:suppressAutoHyphens w:val="true"/>
              <w:spacing w:before="40" w:after="40"/>
              <w:jc w:val="center"/>
              <w:rPr>
                <w:rFonts w:eastAsia="Calibri" w:cs="Times New Roman"/>
                <w:sz w:val="20"/>
                <w:szCs w:val="20"/>
              </w:rPr>
            </w:pPr>
            <w:r>
              <w:rPr>
                <w:rFonts w:eastAsia="Calibri" w:cs="Times New Roman"/>
                <w:b/>
                <w:kern w:val="0"/>
                <w:sz w:val="20"/>
                <w:szCs w:val="20"/>
                <w:lang w:val="ru-RU" w:eastAsia="en-US" w:bidi="ar-SA"/>
              </w:rPr>
              <w:t>Наименование критерия оценки</w:t>
            </w:r>
          </w:p>
        </w:tc>
        <w:tc>
          <w:tcPr>
            <w:tcW w:w="1275" w:type="dxa"/>
            <w:tcBorders>
              <w:top w:val="single" w:sz="4" w:space="0" w:color="000000"/>
              <w:left w:val="single" w:sz="4" w:space="0" w:color="000000"/>
              <w:bottom w:val="single" w:sz="4" w:space="0" w:color="000000"/>
              <w:right w:val="single" w:sz="4" w:space="0" w:color="000000"/>
            </w:tcBorders>
          </w:tcPr>
          <w:p>
            <w:pPr>
              <w:pStyle w:val="Normal"/>
              <w:keepNext w:val="true"/>
              <w:keepLines w:val="false"/>
              <w:widowControl w:val="false"/>
              <w:suppressAutoHyphens w:val="true"/>
              <w:spacing w:before="40" w:after="40"/>
              <w:jc w:val="center"/>
              <w:rPr>
                <w:rFonts w:eastAsia="Calibri" w:cs="Times New Roman"/>
                <w:sz w:val="20"/>
                <w:szCs w:val="20"/>
              </w:rPr>
            </w:pPr>
            <w:r>
              <w:rPr>
                <w:rFonts w:eastAsia="Calibri" w:cs="Times New Roman"/>
                <w:b/>
                <w:kern w:val="0"/>
                <w:sz w:val="20"/>
                <w:szCs w:val="20"/>
                <w:lang w:val="ru-RU" w:eastAsia="en-US" w:bidi="ar-SA"/>
              </w:rPr>
              <w:t>Значимость</w:t>
              <w:br/>
              <w:t>критерия оценки</w:t>
            </w:r>
          </w:p>
        </w:tc>
        <w:tc>
          <w:tcPr>
            <w:tcW w:w="1560" w:type="dxa"/>
            <w:tcBorders>
              <w:top w:val="single" w:sz="4" w:space="0" w:color="000000"/>
              <w:left w:val="single" w:sz="4" w:space="0" w:color="000000"/>
              <w:bottom w:val="single" w:sz="4" w:space="0" w:color="000000"/>
              <w:right w:val="single" w:sz="4" w:space="0" w:color="000000"/>
            </w:tcBorders>
          </w:tcPr>
          <w:p>
            <w:pPr>
              <w:pStyle w:val="Normal"/>
              <w:keepNext w:val="true"/>
              <w:keepLines w:val="false"/>
              <w:widowControl w:val="false"/>
              <w:suppressAutoHyphens w:val="true"/>
              <w:spacing w:before="40" w:after="40"/>
              <w:jc w:val="center"/>
              <w:rPr>
                <w:rFonts w:eastAsia="Calibri" w:cs="Times New Roman"/>
                <w:sz w:val="20"/>
                <w:szCs w:val="20"/>
              </w:rPr>
            </w:pPr>
            <w:r>
              <w:rPr>
                <w:rFonts w:eastAsia="Calibri" w:cs="Times New Roman"/>
                <w:b/>
                <w:kern w:val="0"/>
                <w:sz w:val="20"/>
                <w:szCs w:val="20"/>
                <w:lang w:val="ru-RU" w:eastAsia="en-US" w:bidi="ar-SA"/>
              </w:rPr>
              <w:t>Содержание частного критерия оценки</w:t>
            </w:r>
          </w:p>
        </w:tc>
        <w:tc>
          <w:tcPr>
            <w:tcW w:w="7510" w:type="dxa"/>
            <w:tcBorders>
              <w:top w:val="single" w:sz="4" w:space="0" w:color="000000"/>
              <w:left w:val="single" w:sz="4" w:space="0" w:color="000000"/>
              <w:bottom w:val="single" w:sz="4" w:space="0" w:color="000000"/>
              <w:right w:val="single" w:sz="4" w:space="0" w:color="000000"/>
            </w:tcBorders>
          </w:tcPr>
          <w:p>
            <w:pPr>
              <w:pStyle w:val="Normal"/>
              <w:keepNext w:val="true"/>
              <w:keepLines w:val="false"/>
              <w:widowControl w:val="false"/>
              <w:suppressAutoHyphens w:val="true"/>
              <w:spacing w:before="40" w:after="40"/>
              <w:jc w:val="center"/>
              <w:rPr>
                <w:rFonts w:eastAsia="Calibri" w:cs="Times New Roman"/>
                <w:sz w:val="20"/>
                <w:szCs w:val="20"/>
              </w:rPr>
            </w:pPr>
            <w:r>
              <w:rPr>
                <w:rFonts w:eastAsia="Calibri" w:cs="Times New Roman"/>
                <w:b/>
                <w:kern w:val="0"/>
                <w:sz w:val="20"/>
                <w:szCs w:val="20"/>
                <w:lang w:val="ru-RU" w:eastAsia="en-US" w:bidi="ar-SA"/>
              </w:rPr>
              <w:t>Расчет оценки предпочтительности заявки</w:t>
            </w:r>
          </w:p>
        </w:tc>
      </w:tr>
      <w:tr>
        <w:trPr/>
        <w:tc>
          <w:tcPr>
            <w:tcW w:w="99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sz w:val="20"/>
                <w:szCs w:val="20"/>
              </w:rPr>
            </w:pPr>
            <w:r>
              <w:rPr>
                <w:rFonts w:eastAsia="Calibri" w:cs="Times New Roman"/>
                <w:sz w:val="20"/>
                <w:szCs w:val="20"/>
              </w:rPr>
            </w:r>
          </w:p>
        </w:tc>
        <w:tc>
          <w:tcPr>
            <w:tcW w:w="144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sz w:val="20"/>
                <w:szCs w:val="20"/>
              </w:rPr>
            </w:pPr>
            <w:r>
              <w:rPr>
                <w:rFonts w:eastAsia="Calibri" w:cs="Times New Roman"/>
                <w:sz w:val="20"/>
                <w:szCs w:val="20"/>
              </w:rPr>
            </w:r>
          </w:p>
        </w:tc>
        <w:tc>
          <w:tcPr>
            <w:tcW w:w="12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b/>
                <w:bCs/>
                <w:sz w:val="20"/>
                <w:szCs w:val="20"/>
              </w:rPr>
            </w:pPr>
            <w:r>
              <w:rPr>
                <w:rFonts w:eastAsia="Calibri" w:cs="Times New Roman"/>
                <w:b/>
                <w:bCs/>
                <w:kern w:val="0"/>
                <w:sz w:val="20"/>
                <w:szCs w:val="20"/>
                <w:lang w:val="ru-RU" w:eastAsia="en-US" w:bidi="ar-SA"/>
              </w:rPr>
              <w:t>критерий оценки первого уровня</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b/>
                <w:bCs/>
                <w:sz w:val="20"/>
                <w:szCs w:val="20"/>
              </w:rPr>
            </w:pPr>
            <w:r>
              <w:rPr>
                <w:rFonts w:eastAsia="Calibri" w:cs="Times New Roman"/>
                <w:b/>
                <w:bCs/>
                <w:kern w:val="0"/>
                <w:sz w:val="20"/>
                <w:szCs w:val="20"/>
                <w:lang w:val="ru-RU" w:eastAsia="en-US" w:bidi="ar-SA"/>
              </w:rPr>
              <w:t>критерий оценки второго уровня</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sz w:val="20"/>
                <w:szCs w:val="20"/>
              </w:rPr>
            </w:pPr>
            <w:r>
              <w:rPr>
                <w:rFonts w:eastAsia="Calibri" w:cs="Times New Roman"/>
                <w:sz w:val="20"/>
                <w:szCs w:val="20"/>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sz w:val="20"/>
                <w:szCs w:val="20"/>
              </w:rPr>
            </w:pPr>
            <w:r>
              <w:rPr>
                <w:rFonts w:eastAsia="Calibri" w:cs="Times New Roman"/>
                <w:sz w:val="20"/>
                <w:szCs w:val="20"/>
              </w:rPr>
            </w:r>
          </w:p>
        </w:tc>
        <w:tc>
          <w:tcPr>
            <w:tcW w:w="75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sz w:val="20"/>
                <w:szCs w:val="20"/>
              </w:rPr>
            </w:pPr>
            <w:r>
              <w:rPr>
                <w:rFonts w:eastAsia="Calibri" w:cs="Times New Roman"/>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jc w:val="center"/>
              <w:rPr>
                <w:sz w:val="20"/>
                <w:szCs w:val="20"/>
                <w:lang w:eastAsia="ru-RU"/>
              </w:rPr>
            </w:pPr>
            <w:r>
              <w:rPr>
                <w:kern w:val="0"/>
                <w:sz w:val="20"/>
                <w:szCs w:val="20"/>
                <w:lang w:val="ru-RU" w:eastAsia="ru-RU" w:bidi="ar-SA"/>
              </w:rPr>
              <w:t>1</w:t>
            </w:r>
          </w:p>
        </w:tc>
        <w:tc>
          <w:tcPr>
            <w:tcW w:w="1445"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jc w:val="center"/>
              <w:rPr>
                <w:sz w:val="20"/>
                <w:szCs w:val="20"/>
                <w:lang w:eastAsia="ru-RU"/>
              </w:rPr>
            </w:pPr>
            <w:r>
              <w:rPr>
                <w:kern w:val="0"/>
                <w:sz w:val="20"/>
                <w:szCs w:val="20"/>
                <w:lang w:val="ru-RU" w:eastAsia="ru-RU" w:bidi="ar-SA"/>
              </w:rPr>
              <w:t>Ценовой (стоимостный) частный критерий оценки первого уровня / ЦЕНА</w:t>
            </w:r>
          </w:p>
        </w:tc>
        <w:tc>
          <w:tcPr>
            <w:tcW w:w="1248"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jc w:val="center"/>
              <w:rPr>
                <w:sz w:val="20"/>
                <w:szCs w:val="20"/>
                <w:lang w:eastAsia="ru-RU"/>
              </w:rPr>
            </w:pPr>
            <w:r>
              <w:rPr>
                <w:kern w:val="0"/>
                <w:sz w:val="20"/>
                <w:szCs w:val="20"/>
                <w:lang w:val="ru-RU" w:eastAsia="ru-RU" w:bidi="ar-SA"/>
              </w:rPr>
              <w:t>Цена договора (заявки)</w:t>
            </w:r>
          </w:p>
        </w:tc>
        <w:tc>
          <w:tcPr>
            <w:tcW w:w="1277"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jc w:val="center"/>
              <w:rPr>
                <w:sz w:val="20"/>
                <w:szCs w:val="20"/>
                <w:lang w:eastAsia="ru-RU"/>
              </w:rPr>
            </w:pPr>
            <w:r>
              <w:rPr>
                <w:kern w:val="0"/>
                <w:sz w:val="20"/>
                <w:szCs w:val="20"/>
                <w:lang w:val="ru-RU" w:eastAsia="ru-RU" w:bidi="ar-SA"/>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jc w:val="center"/>
              <w:rPr>
                <w:sz w:val="20"/>
                <w:szCs w:val="20"/>
                <w:lang w:eastAsia="ru-RU"/>
              </w:rPr>
            </w:pPr>
            <w:r>
              <w:rPr>
                <w:kern w:val="0"/>
                <w:sz w:val="20"/>
                <w:szCs w:val="20"/>
                <w:lang w:val="ru-RU" w:eastAsia="ru-RU" w:bidi="ar-SA"/>
              </w:rPr>
              <w:t>85%</w:t>
              <w:br/>
              <w:t>(В1 = 0,85)</w:t>
            </w:r>
          </w:p>
        </w:tc>
        <w:tc>
          <w:tcPr>
            <w:tcW w:w="1560"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jc w:val="center"/>
              <w:rPr>
                <w:sz w:val="20"/>
                <w:szCs w:val="20"/>
                <w:lang w:eastAsia="ru-RU"/>
              </w:rPr>
            </w:pPr>
            <w:r>
              <w:rPr>
                <w:kern w:val="0"/>
                <w:sz w:val="20"/>
                <w:szCs w:val="20"/>
                <w:lang w:val="ru-RU" w:eastAsia="ru-RU" w:bidi="ar-SA"/>
              </w:rPr>
              <w:t>Чем меньше цена заявки Участника, тем выше предпочтительность</w:t>
            </w:r>
          </w:p>
        </w:tc>
        <w:tc>
          <w:tcPr>
            <w:tcW w:w="7510"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jc w:val="left"/>
              <w:rPr>
                <w:sz w:val="20"/>
                <w:szCs w:val="20"/>
                <w:lang w:eastAsia="ru-RU"/>
              </w:rPr>
            </w:pPr>
            <w:r>
              <w:rPr>
                <w:kern w:val="0"/>
                <w:sz w:val="20"/>
                <w:szCs w:val="20"/>
                <w:lang w:val="ru-RU" w:eastAsia="ru-RU" w:bidi="ar-SA"/>
              </w:rPr>
              <w:t>Расчет оценки предпочтительности по частному критерию по методу «Математическая формула, задающая «функцию ценности»»:</w:t>
            </w:r>
          </w:p>
          <w:p>
            <w:pPr>
              <w:pStyle w:val="31"/>
              <w:widowControl w:val="false"/>
              <w:tabs>
                <w:tab w:val="clear" w:pos="5400"/>
              </w:tabs>
              <w:suppressAutoHyphens w:val="true"/>
              <w:spacing w:lineRule="auto" w:line="240" w:before="40" w:after="40"/>
              <w:jc w:val="center"/>
              <w:rPr>
                <w:sz w:val="20"/>
                <w:szCs w:val="20"/>
                <w:lang w:eastAsia="ru-RU"/>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31"/>
              <w:widowControl w:val="false"/>
              <w:tabs>
                <w:tab w:val="clear" w:pos="5400"/>
              </w:tabs>
              <w:suppressAutoHyphens w:val="true"/>
              <w:spacing w:lineRule="auto" w:line="240" w:before="40" w:after="40"/>
              <w:jc w:val="left"/>
              <w:rPr>
                <w:sz w:val="20"/>
                <w:szCs w:val="20"/>
                <w:lang w:eastAsia="ru-RU"/>
              </w:rPr>
            </w:pPr>
            <w:r>
              <w:rPr>
                <w:kern w:val="0"/>
                <w:sz w:val="20"/>
                <w:szCs w:val="20"/>
                <w:lang w:val="ru-RU" w:eastAsia="ru-RU" w:bidi="ar-SA"/>
              </w:rPr>
              <w:t>где:</w:t>
            </w:r>
          </w:p>
          <w:p>
            <w:pPr>
              <w:pStyle w:val="31"/>
              <w:widowControl w:val="false"/>
              <w:tabs>
                <w:tab w:val="clear" w:pos="5400"/>
              </w:tabs>
              <w:suppressAutoHyphens w:val="true"/>
              <w:spacing w:lineRule="auto" w:line="240" w:before="40" w:after="40"/>
              <w:jc w:val="left"/>
              <w:rPr>
                <w:sz w:val="20"/>
                <w:szCs w:val="20"/>
                <w:lang w:eastAsia="ru-RU"/>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kern w:val="0"/>
                <w:sz w:val="20"/>
                <w:szCs w:val="20"/>
                <w:lang w:val="ru-RU" w:eastAsia="ru-RU" w:bidi="ar-SA"/>
              </w:rPr>
              <w:t xml:space="preserve"> – </w:t>
            </w:r>
            <w:r>
              <w:rPr>
                <w:kern w:val="0"/>
                <w:sz w:val="20"/>
                <w:szCs w:val="20"/>
                <w:lang w:val="ru-RU" w:eastAsia="ru-RU" w:bidi="ar-SA"/>
              </w:rPr>
              <w:t>рассчитанная оценка предпочтительности по данному частному критерию оценки в баллах;</w:t>
            </w:r>
          </w:p>
          <w:p>
            <w:pPr>
              <w:pStyle w:val="31"/>
              <w:widowControl w:val="false"/>
              <w:tabs>
                <w:tab w:val="clear" w:pos="5400"/>
              </w:tabs>
              <w:suppressAutoHyphens w:val="true"/>
              <w:spacing w:lineRule="auto" w:line="240" w:before="40" w:after="40"/>
              <w:jc w:val="left"/>
              <w:rPr>
                <w:sz w:val="20"/>
                <w:szCs w:val="20"/>
                <w:lang w:eastAsia="ru-RU"/>
              </w:rPr>
            </w:pPr>
            <w:r>
              <w:rPr/>
            </w:r>
            <m:oMath xmlns:m="http://schemas.openxmlformats.org/officeDocument/2006/math">
              <m:sSub>
                <m:e>
                  <m:r>
                    <w:rPr>
                      <w:rFonts w:ascii="Cambria Math" w:hAnsi="Cambria Math"/>
                    </w:rPr>
                    <m:t xml:space="preserve">ЦЕНА</m:t>
                  </m:r>
                </m:e>
                <m:sub>
                  <m:r>
                    <w:rPr>
                      <w:rFonts w:ascii="Cambria Math" w:hAnsi="Cambria Math"/>
                    </w:rPr>
                    <m:t xml:space="preserve">i</m:t>
                  </m:r>
                </m:sub>
              </m:sSub>
            </m:oMath>
            <w:r>
              <w:rPr>
                <w:kern w:val="0"/>
                <w:sz w:val="20"/>
                <w:szCs w:val="20"/>
                <w:lang w:val="ru-RU" w:eastAsia="ru-RU" w:bidi="ar-SA"/>
              </w:rPr>
              <w:t xml:space="preserve"> – </w:t>
            </w:r>
            <w:r>
              <w:rPr>
                <w:kern w:val="0"/>
                <w:sz w:val="20"/>
                <w:szCs w:val="20"/>
                <w:lang w:val="ru-RU" w:eastAsia="ru-RU" w:bidi="ar-SA"/>
              </w:rPr>
              <w:t>цена договора (заявки), указанная в заявке допущенного участника, руб. без учета НДС;</w:t>
            </w:r>
          </w:p>
          <w:p>
            <w:pPr>
              <w:pStyle w:val="31"/>
              <w:widowControl w:val="false"/>
              <w:tabs>
                <w:tab w:val="clear" w:pos="5400"/>
              </w:tabs>
              <w:suppressAutoHyphens w:val="true"/>
              <w:spacing w:lineRule="auto" w:line="240" w:before="40" w:after="40"/>
              <w:jc w:val="left"/>
              <w:rPr>
                <w:sz w:val="20"/>
                <w:szCs w:val="20"/>
                <w:lang w:eastAsia="ru-RU"/>
              </w:rPr>
            </w:pPr>
            <w:r>
              <w:rPr/>
            </w:r>
            <m:oMath xmlns:m="http://schemas.openxmlformats.org/officeDocument/2006/math">
              <m:sSub>
                <m:e>
                  <m:r>
                    <w:rPr>
                      <w:rFonts w:ascii="Cambria Math" w:hAnsi="Cambria Math"/>
                    </w:rPr>
                    <m:t xml:space="preserve">ЦЕНА</m:t>
                  </m:r>
                </m:e>
                <m:sub>
                  <m:r>
                    <w:rPr>
                      <w:rFonts w:ascii="Cambria Math" w:hAnsi="Cambria Math"/>
                    </w:rPr>
                    <m:t xml:space="preserve">min</m:t>
                  </m:r>
                </m:sub>
              </m:sSub>
            </m:oMath>
            <w:r>
              <w:rPr>
                <w:kern w:val="0"/>
                <w:sz w:val="20"/>
                <w:szCs w:val="20"/>
                <w:lang w:val="ru-RU" w:eastAsia="ru-RU" w:bidi="ar-SA"/>
              </w:rPr>
              <w:t xml:space="preserve"> – </w:t>
            </w:r>
            <w:r>
              <w:rPr>
                <w:kern w:val="0"/>
                <w:sz w:val="20"/>
                <w:szCs w:val="20"/>
                <w:lang w:val="ru-RU" w:eastAsia="ru-RU" w:bidi="ar-SA"/>
              </w:rPr>
              <w:t>минимальная цена договора (заявки) среди всех допущенных заявок участников, руб. без учета НДС;</w:t>
            </w:r>
          </w:p>
          <w:p>
            <w:pPr>
              <w:pStyle w:val="31"/>
              <w:widowControl w:val="false"/>
              <w:tabs>
                <w:tab w:val="clear" w:pos="5400"/>
              </w:tabs>
              <w:suppressAutoHyphens w:val="true"/>
              <w:spacing w:lineRule="auto" w:line="240" w:before="40" w:after="40"/>
              <w:jc w:val="left"/>
              <w:rPr>
                <w:sz w:val="20"/>
                <w:szCs w:val="20"/>
                <w:lang w:eastAsia="ru-RU"/>
              </w:rPr>
            </w:pPr>
            <w:r>
              <w:rPr/>
            </w:r>
            <m:oMath xmlns:m="http://schemas.openxmlformats.org/officeDocument/2006/math">
              <m:r>
                <w:rPr>
                  <w:rFonts w:ascii="Cambria Math" w:hAnsi="Cambria Math"/>
                </w:rPr>
                <m:t xml:space="preserve">Ш</m:t>
              </m:r>
            </m:oMath>
            <w:r>
              <w:rPr>
                <w:kern w:val="0"/>
                <w:sz w:val="20"/>
                <w:szCs w:val="20"/>
                <w:lang w:val="ru-RU" w:eastAsia="ru-RU" w:bidi="ar-SA"/>
              </w:rPr>
              <w:t xml:space="preserve"> – </w:t>
            </w:r>
            <w:r>
              <w:rPr>
                <w:kern w:val="0"/>
                <w:sz w:val="20"/>
                <w:szCs w:val="20"/>
                <w:lang w:val="ru-RU" w:eastAsia="ru-RU" w:bidi="ar-SA"/>
              </w:rPr>
              <w:t>максимально возможный балл (максимальная возможная оценка предпочтительности) по шкале оценок (</w:t>
            </w:r>
            <w:r>
              <w:rPr/>
            </w:r>
            <m:oMath xmlns:m="http://schemas.openxmlformats.org/officeDocument/2006/math">
              <m:r>
                <w:rPr>
                  <w:rFonts w:ascii="Cambria Math" w:hAnsi="Cambria Math"/>
                </w:rPr>
                <m:t xml:space="preserve">Ш</m:t>
              </m:r>
              <m:r>
                <w:rPr>
                  <w:rFonts w:ascii="Cambria Math" w:hAnsi="Cambria Math"/>
                </w:rPr>
                <m:t xml:space="preserve">=</m:t>
              </m:r>
              <m:r>
                <w:rPr>
                  <w:rFonts w:ascii="Cambria Math" w:hAnsi="Cambria Math"/>
                </w:rPr>
                <m:t xml:space="preserve">5</m:t>
              </m:r>
            </m:oMath>
            <w:r>
              <w:rPr>
                <w:kern w:val="0"/>
                <w:sz w:val="20"/>
                <w:szCs w:val="20"/>
                <w:lang w:val="ru-RU" w:eastAsia="ru-RU" w:bidi="ar-SA"/>
              </w:rPr>
              <w:t>).</w:t>
            </w:r>
          </w:p>
          <w:p>
            <w:pPr>
              <w:pStyle w:val="Normal"/>
              <w:widowControl w:val="false"/>
              <w:suppressAutoHyphens w:val="true"/>
              <w:spacing w:before="40" w:after="40"/>
              <w:jc w:val="left"/>
              <w:rPr>
                <w:rFonts w:eastAsia="Times New Roman" w:cs="Times New Roman"/>
                <w:color w:val="000000" w:themeColor="text1"/>
                <w:sz w:val="20"/>
                <w:szCs w:val="20"/>
                <w:lang w:eastAsia="ru-RU"/>
              </w:rPr>
            </w:pPr>
            <w:r>
              <w:rPr>
                <w:rFonts w:eastAsia="Times New Roman" w:cs="Times New Roman"/>
                <w:color w:val="000000" w:themeColor="text1"/>
                <w:kern w:val="0"/>
                <w:sz w:val="20"/>
                <w:szCs w:val="20"/>
                <w:lang w:val="ru-RU" w:eastAsia="ru-RU" w:bidi="ar-SA"/>
              </w:rPr>
              <w:t>Оценка предпочтительности заявок осуществляется в едином базисе сопоставления ценовых (стоимостных) предложений: без учета НДС.</w:t>
            </w:r>
          </w:p>
          <w:p>
            <w:pPr>
              <w:pStyle w:val="Normal"/>
              <w:widowControl w:val="false"/>
              <w:suppressAutoHyphens w:val="true"/>
              <w:spacing w:before="40" w:after="40"/>
              <w:jc w:val="left"/>
              <w:rPr>
                <w:rFonts w:eastAsia="Times New Roman" w:cs="Times New Roman"/>
                <w:color w:val="000000" w:themeColor="text1"/>
                <w:sz w:val="20"/>
                <w:szCs w:val="20"/>
                <w:lang w:eastAsia="ru-RU"/>
              </w:rPr>
            </w:pPr>
            <w:r>
              <w:rPr>
                <w:rFonts w:eastAsia="Times New Roman" w:cs="Times New Roman"/>
                <w:color w:val="000000" w:themeColor="text1"/>
                <w:kern w:val="0"/>
                <w:sz w:val="20"/>
                <w:szCs w:val="20"/>
                <w:lang w:val="ru-RU" w:eastAsia="ru-RU" w:bidi="ar-SA"/>
              </w:rPr>
              <w:t>Шкала оценок от 0 до 5 баллов.</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sz w:val="20"/>
                <w:szCs w:val="20"/>
              </w:rPr>
            </w:pPr>
            <w:r>
              <w:rPr>
                <w:rFonts w:eastAsia="Calibri" w:cs="Times New Roman"/>
                <w:kern w:val="0"/>
                <w:sz w:val="20"/>
                <w:szCs w:val="20"/>
                <w:lang w:val="ru-RU" w:eastAsia="en-US" w:bidi="ar-SA"/>
              </w:rPr>
              <w:t>2</w:t>
            </w:r>
          </w:p>
        </w:tc>
        <w:tc>
          <w:tcPr>
            <w:tcW w:w="1445"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rPr>
                <w:sz w:val="20"/>
                <w:szCs w:val="20"/>
                <w:lang w:eastAsia="ru-RU"/>
              </w:rPr>
            </w:pPr>
            <w:r>
              <w:rPr>
                <w:kern w:val="0"/>
                <w:sz w:val="20"/>
                <w:szCs w:val="20"/>
                <w:lang w:val="ru-RU" w:eastAsia="ru-RU" w:bidi="ar-SA"/>
              </w:rPr>
              <w:t>Неценовой критерий оценки первого уровня/</w:t>
              <w:br/>
              <w:t>ТЕХ</w:t>
            </w:r>
          </w:p>
        </w:tc>
        <w:tc>
          <w:tcPr>
            <w:tcW w:w="12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sz w:val="20"/>
                <w:szCs w:val="20"/>
              </w:rPr>
            </w:pPr>
            <w:r>
              <w:rPr>
                <w:rFonts w:eastAsia="Calibri" w:cs="Times New Roman"/>
                <w:kern w:val="0"/>
                <w:sz w:val="20"/>
                <w:szCs w:val="20"/>
                <w:lang w:val="ru-RU" w:eastAsia="en-US" w:bidi="ar-SA"/>
              </w:rPr>
              <w:t>Квалификация (предпочтительность) участника, в том числе коллективного</w:t>
            </w:r>
          </w:p>
        </w:tc>
        <w:tc>
          <w:tcPr>
            <w:tcW w:w="1277" w:type="dxa"/>
            <w:tcBorders>
              <w:top w:val="single" w:sz="4" w:space="0" w:color="000000"/>
              <w:left w:val="single" w:sz="4" w:space="0" w:color="000000"/>
              <w:bottom w:val="single" w:sz="4" w:space="0" w:color="000000"/>
              <w:right w:val="single" w:sz="4" w:space="0" w:color="000000"/>
            </w:tcBorders>
          </w:tcPr>
          <w:p>
            <w:pPr>
              <w:pStyle w:val="31"/>
              <w:widowControl w:val="false"/>
              <w:tabs>
                <w:tab w:val="clear" w:pos="5400"/>
              </w:tabs>
              <w:suppressAutoHyphens w:val="true"/>
              <w:spacing w:lineRule="auto" w:line="240" w:before="40" w:after="40"/>
              <w:jc w:val="center"/>
              <w:rPr>
                <w:sz w:val="20"/>
                <w:szCs w:val="20"/>
                <w:lang w:eastAsia="ru-RU"/>
              </w:rPr>
            </w:pPr>
            <w:r>
              <w:rPr>
                <w:kern w:val="0"/>
                <w:sz w:val="20"/>
                <w:szCs w:val="20"/>
                <w:lang w:val="ru-RU" w:eastAsia="ru-RU" w:bidi="ar-SA"/>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eastAsia="Calibri" w:cs="Times New Roman"/>
                <w:sz w:val="20"/>
                <w:szCs w:val="20"/>
              </w:rPr>
            </w:pPr>
            <w:r>
              <w:rPr>
                <w:rFonts w:eastAsia="Calibri" w:cs="Times New Roman"/>
                <w:kern w:val="0"/>
                <w:sz w:val="20"/>
                <w:szCs w:val="20"/>
                <w:lang w:val="ru-RU" w:eastAsia="en-US" w:bidi="ar-SA"/>
              </w:rPr>
              <w:t>10% (Вi=0,10)</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60" w:after="60"/>
              <w:jc w:val="left"/>
              <w:rPr>
                <w:rFonts w:eastAsia="Calibri" w:cs="Times New Roman"/>
                <w:sz w:val="20"/>
                <w:szCs w:val="20"/>
              </w:rPr>
            </w:pPr>
            <w:r>
              <w:rPr>
                <w:rFonts w:eastAsia="Calibri" w:cs="Times New Roman"/>
                <w:kern w:val="0"/>
                <w:sz w:val="20"/>
                <w:szCs w:val="20"/>
                <w:lang w:val="ru-RU" w:eastAsia="en-US" w:bidi="ar-SA"/>
              </w:rPr>
              <w:t>Чем больше опыт (до оцениваемого предела), тем выше предпочтительность</w:t>
            </w:r>
          </w:p>
        </w:tc>
        <w:tc>
          <w:tcPr>
            <w:tcW w:w="75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96" w:after="96"/>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numPr>
                <w:ilvl w:val="7"/>
                <w:numId w:val="14"/>
              </w:numPr>
              <w:tabs>
                <w:tab w:val="clear" w:pos="708"/>
                <w:tab w:val="left" w:pos="1440" w:leader="none"/>
                <w:tab w:val="left" w:pos="2880" w:leader="none"/>
              </w:tabs>
              <w:suppressAutoHyphens w:val="true"/>
              <w:spacing w:before="40" w:after="40"/>
              <w:jc w:val="left"/>
              <w:rPr>
                <w:rFonts w:eastAsia="Times New Roman" w:cs="Times New Roman"/>
                <w:color w:val="000000" w:themeColor="text1"/>
                <w:sz w:val="20"/>
                <w:szCs w:val="18"/>
                <w:lang w:eastAsia="ru-RU"/>
              </w:rPr>
            </w:pPr>
            <w:bookmarkStart w:id="397" w:name="_GoBack"/>
            <w:r>
              <w:rPr>
                <w:rFonts w:eastAsia="Times New Roman" w:cs="Times New Roman"/>
                <w:color w:val="000000" w:themeColor="text1"/>
                <w:kern w:val="0"/>
                <w:sz w:val="20"/>
                <w:szCs w:val="24"/>
                <w:lang w:val="ru-RU" w:eastAsia="ru-RU" w:bidi="ar-SA"/>
              </w:rPr>
              <w:t>Порядок осуществления оценки опыта в соответствии с п.8.4 Документации о закупке</w:t>
            </w:r>
            <w:r>
              <w:rPr>
                <w:rFonts w:eastAsia="Times New Roman" w:cs="Times New Roman"/>
                <w:color w:val="000000" w:themeColor="text1"/>
                <w:kern w:val="0"/>
                <w:sz w:val="20"/>
                <w:szCs w:val="24"/>
                <w:lang w:val="ru-RU" w:eastAsia="en-US" w:bidi="ar-SA"/>
              </w:rPr>
              <w:t xml:space="preserve">, </w:t>
            </w:r>
            <w:r>
              <w:rPr>
                <w:rFonts w:eastAsia="Times New Roman" w:cs="Times New Roman"/>
                <w:color w:val="000000" w:themeColor="text1"/>
                <w:kern w:val="0"/>
                <w:sz w:val="20"/>
                <w:szCs w:val="24"/>
                <w:lang w:val="ru-RU" w:eastAsia="ru-RU" w:bidi="ar-SA"/>
              </w:rPr>
              <w:t xml:space="preserve">в зависимости от предоставленных в </w:t>
            </w:r>
            <w:r>
              <w:rPr>
                <w:rFonts w:eastAsia="Times New Roman" w:cs="Times New Roman"/>
                <w:i/>
                <w:iCs/>
                <w:color w:val="000000" w:themeColor="text1"/>
                <w:kern w:val="0"/>
                <w:sz w:val="20"/>
                <w:szCs w:val="24"/>
                <w:lang w:val="en-US" w:eastAsia="ru-RU" w:bidi="ar-SA"/>
              </w:rPr>
              <w:t>i</w:t>
            </w:r>
            <w:r>
              <w:rPr>
                <w:rFonts w:eastAsia="Times New Roman" w:cs="Times New Roman"/>
                <w:color w:val="000000" w:themeColor="text1"/>
                <w:kern w:val="0"/>
                <w:sz w:val="20"/>
                <w:szCs w:val="24"/>
                <w:lang w:val="ru-RU" w:eastAsia="ru-RU" w:bidi="ar-SA"/>
              </w:rPr>
              <w:t>-ой заявке сведений о ранее выполненных договорах по форме «Справка об опыте участника» на общую сумму:</w:t>
            </w:r>
            <w:bookmarkEnd w:id="397"/>
          </w:p>
          <w:p>
            <w:pPr>
              <w:pStyle w:val="Normal"/>
              <w:widowControl w:val="false"/>
              <w:suppressAutoHyphens w:val="true"/>
              <w:spacing w:before="40" w:after="40"/>
              <w:jc w:val="left"/>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r>
          </w:p>
          <w:tbl>
            <w:tblPr>
              <w:tblW w:w="7166"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786"/>
              <w:gridCol w:w="6379"/>
            </w:tblGrid>
            <w:tr>
              <w:trPr>
                <w:trHeight w:val="309" w:hRule="atLeast"/>
                <w:cantSplit w:val="true"/>
              </w:trPr>
              <w:tc>
                <w:tcPr>
                  <w:tcW w:w="7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52" w:before="40" w:after="40"/>
                    <w:jc w:val="center"/>
                    <w:rPr>
                      <w:rFonts w:eastAsia="Times New Roman" w:cs="Times New Roman (???????? ?????"/>
                      <w:color w:val="000000" w:themeColor="text1"/>
                      <w:sz w:val="20"/>
                      <w:szCs w:val="18"/>
                    </w:rPr>
                  </w:pPr>
                  <w:r>
                    <w:rPr>
                      <w:rFonts w:eastAsia="Times New Roman" w:cs="Times New Roman (???????? ?????"/>
                      <w:color w:val="000000" w:themeColor="text1"/>
                      <w:sz w:val="20"/>
                      <w:szCs w:val="18"/>
                    </w:rPr>
                    <w:t>Б</w:t>
                  </w:r>
                  <w:r>
                    <w:rPr>
                      <w:rFonts w:eastAsia="Times New Roman" w:cs="Times New Roman (???????? ?????"/>
                      <w:color w:val="000000" w:themeColor="text1"/>
                      <w:sz w:val="20"/>
                      <w:szCs w:val="18"/>
                      <w:vertAlign w:val="subscript"/>
                    </w:rPr>
                    <w:t>2</w:t>
                  </w:r>
                  <w:r>
                    <w:rPr>
                      <w:rFonts w:eastAsia="Times New Roman" w:cs="Times New Roman (???????? ?????"/>
                      <w:color w:val="000000" w:themeColor="text1"/>
                      <w:sz w:val="20"/>
                      <w:szCs w:val="18"/>
                    </w:rPr>
                    <w:t>= 0</w:t>
                  </w:r>
                </w:p>
              </w:tc>
              <w:tc>
                <w:tcPr>
                  <w:tcW w:w="637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4"/>
                    </w:numPr>
                    <w:suppressAutoHyphens w:val="true"/>
                    <w:spacing w:before="40" w:after="40"/>
                    <w:ind w:left="284" w:hanging="284"/>
                    <w:outlineLvl w:val="4"/>
                    <w:rPr>
                      <w:rFonts w:eastAsia="Times New Roman" w:cs="Times New Roman"/>
                      <w:color w:val="000000" w:themeColor="text1"/>
                      <w:sz w:val="20"/>
                      <w:szCs w:val="18"/>
                      <w:lang w:eastAsia="ru-RU"/>
                    </w:rPr>
                  </w:pPr>
                  <w:r>
                    <w:rPr>
                      <w:rFonts w:eastAsia="Times New Roman" w:cs="Times New Roman"/>
                      <w:color w:val="000000" w:themeColor="text1"/>
                      <w:sz w:val="20"/>
                      <w:szCs w:val="18"/>
                      <w:lang w:eastAsia="ru-RU"/>
                    </w:rPr>
                    <w:t>Более 40 % от НМЦ (что составляет 7 518 840  руб.), без учета НДС, до 50% от НМЦ, без учета НДС (включительно) за последние 5 лет;</w:t>
                  </w:r>
                </w:p>
              </w:tc>
            </w:tr>
            <w:tr>
              <w:trPr>
                <w:trHeight w:val="309" w:hRule="atLeast"/>
                <w:cantSplit w:val="true"/>
              </w:trPr>
              <w:tc>
                <w:tcPr>
                  <w:tcW w:w="7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52" w:before="40" w:after="40"/>
                    <w:jc w:val="center"/>
                    <w:rPr>
                      <w:rFonts w:eastAsia="Times New Roman" w:cs="Times New Roman (???????? ?????"/>
                      <w:color w:val="000000" w:themeColor="text1"/>
                      <w:sz w:val="20"/>
                      <w:szCs w:val="18"/>
                    </w:rPr>
                  </w:pPr>
                  <w:r>
                    <w:rPr>
                      <w:rFonts w:eastAsia="Times New Roman" w:cs="Times New Roman (???????? ?????"/>
                      <w:color w:val="000000" w:themeColor="text1"/>
                      <w:sz w:val="20"/>
                      <w:szCs w:val="18"/>
                    </w:rPr>
                    <w:t>Б</w:t>
                  </w:r>
                  <w:r>
                    <w:rPr>
                      <w:rFonts w:eastAsia="Times New Roman" w:cs="Times New Roman (???????? ?????"/>
                      <w:color w:val="000000" w:themeColor="text1"/>
                      <w:sz w:val="20"/>
                      <w:szCs w:val="18"/>
                      <w:vertAlign w:val="subscript"/>
                    </w:rPr>
                    <w:t>2</w:t>
                  </w:r>
                  <w:r>
                    <w:rPr>
                      <w:rFonts w:eastAsia="Times New Roman" w:cs="Times New Roman (???????? ?????"/>
                      <w:color w:val="000000" w:themeColor="text1"/>
                      <w:sz w:val="20"/>
                      <w:szCs w:val="18"/>
                    </w:rPr>
                    <w:t>= 1</w:t>
                  </w:r>
                </w:p>
              </w:tc>
              <w:tc>
                <w:tcPr>
                  <w:tcW w:w="637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4"/>
                      <w:numId w:val="14"/>
                    </w:numPr>
                    <w:suppressAutoHyphens w:val="true"/>
                    <w:spacing w:before="40" w:after="40"/>
                    <w:ind w:left="284" w:hanging="284"/>
                    <w:outlineLvl w:val="4"/>
                    <w:rPr>
                      <w:rFonts w:eastAsia="Times New Roman" w:cs="Times New Roman"/>
                      <w:color w:val="000000" w:themeColor="text1"/>
                      <w:sz w:val="20"/>
                      <w:szCs w:val="18"/>
                      <w:lang w:eastAsia="ru-RU"/>
                    </w:rPr>
                  </w:pPr>
                  <w:r>
                    <w:rPr>
                      <w:rFonts w:eastAsia="Times New Roman" w:cs="Times New Roman"/>
                      <w:color w:val="000000" w:themeColor="text1"/>
                      <w:sz w:val="20"/>
                      <w:szCs w:val="18"/>
                      <w:lang w:eastAsia="ru-RU"/>
                    </w:rPr>
                    <w:t>Более 50 % от НМЦ, без учета НДС, до 60% от НМЦ, без учета НДС (включительно) за последние 5 лет;</w:t>
                  </w:r>
                </w:p>
              </w:tc>
            </w:tr>
            <w:tr>
              <w:trPr>
                <w:trHeight w:val="309" w:hRule="atLeast"/>
                <w:cantSplit w:val="true"/>
              </w:trPr>
              <w:tc>
                <w:tcPr>
                  <w:tcW w:w="7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52" w:before="40" w:after="40"/>
                    <w:jc w:val="center"/>
                    <w:rPr>
                      <w:rFonts w:eastAsia="Times New Roman" w:cs="Times New Roman (???????? ?????"/>
                      <w:color w:val="000000" w:themeColor="text1"/>
                      <w:sz w:val="20"/>
                      <w:szCs w:val="18"/>
                    </w:rPr>
                  </w:pPr>
                  <w:r>
                    <w:rPr>
                      <w:rFonts w:eastAsia="Times New Roman" w:cs="Times New Roman (???????? ?????"/>
                      <w:color w:val="000000" w:themeColor="text1"/>
                      <w:sz w:val="20"/>
                      <w:szCs w:val="18"/>
                    </w:rPr>
                    <w:t>Б</w:t>
                  </w:r>
                  <w:r>
                    <w:rPr>
                      <w:rFonts w:eastAsia="Times New Roman" w:cs="Times New Roman (???????? ?????"/>
                      <w:color w:val="000000" w:themeColor="text1"/>
                      <w:sz w:val="20"/>
                      <w:szCs w:val="18"/>
                      <w:vertAlign w:val="subscript"/>
                    </w:rPr>
                    <w:t>2</w:t>
                  </w:r>
                  <w:r>
                    <w:rPr>
                      <w:rFonts w:eastAsia="Times New Roman" w:cs="Times New Roman (???????? ?????"/>
                      <w:color w:val="000000" w:themeColor="text1"/>
                      <w:sz w:val="20"/>
                      <w:szCs w:val="18"/>
                    </w:rPr>
                    <w:t>= 2</w:t>
                  </w:r>
                </w:p>
              </w:tc>
              <w:tc>
                <w:tcPr>
                  <w:tcW w:w="637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4"/>
                      <w:numId w:val="14"/>
                    </w:numPr>
                    <w:suppressAutoHyphens w:val="true"/>
                    <w:spacing w:before="40" w:after="40"/>
                    <w:ind w:left="284" w:hanging="284"/>
                    <w:outlineLvl w:val="4"/>
                    <w:rPr>
                      <w:rFonts w:eastAsia="Times New Roman" w:cs="Times New Roman"/>
                      <w:color w:val="000000" w:themeColor="text1"/>
                      <w:sz w:val="20"/>
                      <w:szCs w:val="18"/>
                      <w:lang w:eastAsia="ru-RU"/>
                    </w:rPr>
                  </w:pPr>
                  <w:r>
                    <w:rPr>
                      <w:rFonts w:eastAsia="Times New Roman" w:cs="Times New Roman"/>
                      <w:color w:val="000000" w:themeColor="text1"/>
                      <w:sz w:val="20"/>
                      <w:szCs w:val="18"/>
                      <w:lang w:eastAsia="ru-RU"/>
                    </w:rPr>
                    <w:t>Более 60 % от НМЦ, без учета НДС, до 70% от НМЦ, без учета НДС (включительно) за последние 5 лет;</w:t>
                  </w:r>
                </w:p>
              </w:tc>
            </w:tr>
            <w:tr>
              <w:trPr>
                <w:trHeight w:val="309" w:hRule="atLeast"/>
                <w:cantSplit w:val="true"/>
              </w:trPr>
              <w:tc>
                <w:tcPr>
                  <w:tcW w:w="7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52" w:before="40" w:after="40"/>
                    <w:jc w:val="center"/>
                    <w:rPr>
                      <w:rFonts w:eastAsia="Times New Roman" w:cs="Times New Roman (???????? ?????"/>
                      <w:color w:val="000000" w:themeColor="text1"/>
                      <w:sz w:val="20"/>
                      <w:szCs w:val="18"/>
                    </w:rPr>
                  </w:pPr>
                  <w:r>
                    <w:rPr>
                      <w:rFonts w:eastAsia="Times New Roman" w:cs="Times New Roman (???????? ?????"/>
                      <w:color w:val="000000" w:themeColor="text1"/>
                      <w:sz w:val="20"/>
                      <w:szCs w:val="18"/>
                    </w:rPr>
                    <w:t>Б</w:t>
                  </w:r>
                  <w:r>
                    <w:rPr>
                      <w:rFonts w:eastAsia="Times New Roman" w:cs="Times New Roman (???????? ?????"/>
                      <w:color w:val="000000" w:themeColor="text1"/>
                      <w:sz w:val="20"/>
                      <w:szCs w:val="18"/>
                      <w:vertAlign w:val="subscript"/>
                    </w:rPr>
                    <w:t>2</w:t>
                  </w:r>
                  <w:r>
                    <w:rPr>
                      <w:rFonts w:eastAsia="Times New Roman" w:cs="Times New Roman (???????? ?????"/>
                      <w:color w:val="000000" w:themeColor="text1"/>
                      <w:sz w:val="20"/>
                      <w:szCs w:val="18"/>
                    </w:rPr>
                    <w:t>= 3</w:t>
                  </w:r>
                </w:p>
              </w:tc>
              <w:tc>
                <w:tcPr>
                  <w:tcW w:w="637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4"/>
                      <w:numId w:val="14"/>
                    </w:numPr>
                    <w:suppressAutoHyphens w:val="true"/>
                    <w:spacing w:before="40" w:after="40"/>
                    <w:ind w:left="284" w:hanging="284"/>
                    <w:outlineLvl w:val="4"/>
                    <w:rPr>
                      <w:rFonts w:eastAsia="Times New Roman" w:cs="Times New Roman"/>
                      <w:color w:val="000000" w:themeColor="text1"/>
                      <w:sz w:val="20"/>
                      <w:szCs w:val="18"/>
                      <w:lang w:eastAsia="ru-RU"/>
                    </w:rPr>
                  </w:pPr>
                  <w:r>
                    <w:rPr>
                      <w:rFonts w:eastAsia="Times New Roman" w:cs="Times New Roman"/>
                      <w:color w:val="000000" w:themeColor="text1"/>
                      <w:sz w:val="20"/>
                      <w:szCs w:val="18"/>
                      <w:lang w:eastAsia="ru-RU"/>
                    </w:rPr>
                    <w:t>Более 70 % от НМЦ, без учета НДС, до 80% от НМЦ, без учета НДС (включительно) за последние 5 лет;</w:t>
                  </w:r>
                </w:p>
              </w:tc>
            </w:tr>
            <w:tr>
              <w:trPr>
                <w:trHeight w:val="309" w:hRule="atLeast"/>
                <w:cantSplit w:val="true"/>
              </w:trPr>
              <w:tc>
                <w:tcPr>
                  <w:tcW w:w="7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52" w:before="40" w:after="40"/>
                    <w:jc w:val="center"/>
                    <w:rPr>
                      <w:rFonts w:eastAsia="Times New Roman" w:cs="Times New Roman (???????? ?????"/>
                      <w:color w:val="000000" w:themeColor="text1"/>
                      <w:sz w:val="20"/>
                      <w:szCs w:val="18"/>
                    </w:rPr>
                  </w:pPr>
                  <w:r>
                    <w:rPr>
                      <w:rFonts w:eastAsia="Times New Roman" w:cs="Times New Roman (???????? ?????"/>
                      <w:color w:val="000000" w:themeColor="text1"/>
                      <w:sz w:val="20"/>
                      <w:szCs w:val="18"/>
                    </w:rPr>
                    <w:t>Б</w:t>
                  </w:r>
                  <w:r>
                    <w:rPr>
                      <w:rFonts w:eastAsia="Times New Roman" w:cs="Times New Roman (???????? ?????"/>
                      <w:color w:val="000000" w:themeColor="text1"/>
                      <w:sz w:val="20"/>
                      <w:szCs w:val="18"/>
                      <w:vertAlign w:val="subscript"/>
                    </w:rPr>
                    <w:t>2</w:t>
                  </w:r>
                  <w:r>
                    <w:rPr>
                      <w:rFonts w:eastAsia="Times New Roman" w:cs="Times New Roman (???????? ?????"/>
                      <w:color w:val="000000" w:themeColor="text1"/>
                      <w:sz w:val="20"/>
                      <w:szCs w:val="18"/>
                    </w:rPr>
                    <w:t>= 4</w:t>
                  </w:r>
                </w:p>
              </w:tc>
              <w:tc>
                <w:tcPr>
                  <w:tcW w:w="637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4"/>
                      <w:numId w:val="14"/>
                    </w:numPr>
                    <w:suppressAutoHyphens w:val="true"/>
                    <w:spacing w:before="40" w:after="40"/>
                    <w:ind w:left="284" w:hanging="284"/>
                    <w:outlineLvl w:val="4"/>
                    <w:rPr>
                      <w:rFonts w:eastAsia="Times New Roman" w:cs="Times New Roman"/>
                      <w:color w:val="000000" w:themeColor="text1"/>
                      <w:sz w:val="20"/>
                      <w:szCs w:val="18"/>
                      <w:lang w:eastAsia="ru-RU"/>
                    </w:rPr>
                  </w:pPr>
                  <w:r>
                    <w:rPr>
                      <w:rFonts w:eastAsia="Times New Roman" w:cs="Times New Roman"/>
                      <w:color w:val="000000" w:themeColor="text1"/>
                      <w:sz w:val="20"/>
                      <w:szCs w:val="18"/>
                      <w:lang w:eastAsia="ru-RU"/>
                    </w:rPr>
                    <w:t>Более 80 % от НМЦ, без учета НДС, до 90% от НМЦ, без учета НДС (включительно) за последние 5 лет;</w:t>
                  </w:r>
                </w:p>
              </w:tc>
            </w:tr>
            <w:tr>
              <w:trPr>
                <w:trHeight w:val="309" w:hRule="atLeast"/>
                <w:cantSplit w:val="true"/>
              </w:trPr>
              <w:tc>
                <w:tcPr>
                  <w:tcW w:w="7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52" w:before="40" w:after="40"/>
                    <w:jc w:val="center"/>
                    <w:rPr>
                      <w:rFonts w:eastAsia="Times New Roman" w:cs="Times New Roman (???????? ?????"/>
                      <w:color w:val="000000" w:themeColor="text1"/>
                      <w:sz w:val="20"/>
                      <w:szCs w:val="18"/>
                    </w:rPr>
                  </w:pPr>
                  <w:r>
                    <w:rPr>
                      <w:rFonts w:eastAsia="Times New Roman" w:cs="Times New Roman (???????? ?????"/>
                      <w:color w:val="000000" w:themeColor="text1"/>
                      <w:sz w:val="20"/>
                      <w:szCs w:val="18"/>
                    </w:rPr>
                    <w:t>Б</w:t>
                  </w:r>
                  <w:r>
                    <w:rPr>
                      <w:rFonts w:eastAsia="Times New Roman" w:cs="Times New Roman (???????? ?????"/>
                      <w:color w:val="000000" w:themeColor="text1"/>
                      <w:sz w:val="20"/>
                      <w:szCs w:val="18"/>
                      <w:vertAlign w:val="subscript"/>
                    </w:rPr>
                    <w:t>2</w:t>
                  </w:r>
                  <w:r>
                    <w:rPr>
                      <w:rFonts w:eastAsia="Times New Roman" w:cs="Times New Roman (???????? ?????"/>
                      <w:color w:val="000000" w:themeColor="text1"/>
                      <w:sz w:val="20"/>
                      <w:szCs w:val="18"/>
                    </w:rPr>
                    <w:t>= 5</w:t>
                  </w:r>
                </w:p>
              </w:tc>
              <w:tc>
                <w:tcPr>
                  <w:tcW w:w="6379"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4"/>
                      <w:numId w:val="14"/>
                    </w:numPr>
                    <w:suppressAutoHyphens w:val="true"/>
                    <w:spacing w:before="40" w:after="40"/>
                    <w:ind w:left="284" w:hanging="284"/>
                    <w:outlineLvl w:val="4"/>
                    <w:rPr>
                      <w:rFonts w:eastAsia="Times New Roman" w:cs="Times New Roman"/>
                      <w:color w:val="000000" w:themeColor="text1"/>
                      <w:sz w:val="20"/>
                      <w:szCs w:val="18"/>
                    </w:rPr>
                  </w:pPr>
                  <w:r>
                    <w:rPr>
                      <w:rFonts w:eastAsia="Times New Roman" w:cs="Times New Roman"/>
                      <w:color w:val="000000" w:themeColor="text1"/>
                      <w:sz w:val="20"/>
                      <w:szCs w:val="18"/>
                      <w:lang w:eastAsia="ru-RU"/>
                    </w:rPr>
                    <w:t>от 90 % от НМЦ, без учета НДС и выше за последние 5 лет;</w:t>
                  </w:r>
                </w:p>
              </w:tc>
            </w:tr>
          </w:tbl>
          <w:p>
            <w:pPr>
              <w:pStyle w:val="Normal"/>
              <w:keepNext w:val="true"/>
              <w:widowControl w:val="false"/>
              <w:suppressAutoHyphens w:val="true"/>
              <w:spacing w:before="96" w:after="0"/>
              <w:jc w:val="left"/>
              <w:rPr>
                <w:rFonts w:eastAsia="Calibri" w:cs="Times New Roman"/>
                <w:color w:val="000000" w:themeColor="text1"/>
                <w:sz w:val="20"/>
                <w:szCs w:val="24"/>
                <w:lang w:eastAsia="ru-RU"/>
              </w:rPr>
            </w:pPr>
            <w:r>
              <w:rPr>
                <w:rFonts w:eastAsia="Calibri" w:cs="Times New Roman"/>
                <w:color w:val="000000" w:themeColor="text1"/>
                <w:kern w:val="0"/>
                <w:sz w:val="20"/>
                <w:szCs w:val="24"/>
                <w:lang w:val="ru-RU" w:eastAsia="en-US" w:bidi="ar-SA"/>
              </w:rPr>
              <w:t>где:</w:t>
            </w:r>
          </w:p>
          <w:p>
            <w:pPr>
              <w:pStyle w:val="Normal"/>
              <w:widowControl w:val="false"/>
              <w:suppressAutoHyphens w:val="true"/>
              <w:spacing w:before="60" w:after="0"/>
              <w:jc w:val="both"/>
              <w:rPr>
                <w:rFonts w:eastAsia="Times New Roman" w:cs="Times New Roman"/>
                <w:color w:val="000000" w:themeColor="text1"/>
                <w:sz w:val="20"/>
                <w:szCs w:val="24"/>
              </w:rPr>
            </w:pPr>
            <w:r>
              <w:rPr>
                <w:rFonts w:eastAsia="Calibri" w:cs="Times New Roman"/>
                <w:color w:val="000000" w:themeColor="text1"/>
                <w:kern w:val="0"/>
                <w:sz w:val="20"/>
                <w:szCs w:val="24"/>
                <w:lang w:val="ru-RU" w:eastAsia="en-US" w:bidi="ar-SA"/>
              </w:rPr>
              <w:t>Б</w:t>
            </w:r>
            <w:r>
              <w:rPr>
                <w:rFonts w:eastAsia="Calibri" w:cs="Times New Roman"/>
                <w:color w:val="000000" w:themeColor="text1"/>
                <w:kern w:val="0"/>
                <w:sz w:val="20"/>
                <w:szCs w:val="24"/>
                <w:vertAlign w:val="subscript"/>
                <w:lang w:val="ru-RU" w:eastAsia="en-US" w:bidi="ar-SA"/>
              </w:rPr>
              <w:t>2</w:t>
            </w:r>
            <w:r>
              <w:rPr>
                <w:rFonts w:eastAsia="Calibri" w:cs="Times New Roman"/>
                <w:color w:val="000000" w:themeColor="text1"/>
                <w:kern w:val="0"/>
                <w:sz w:val="20"/>
                <w:szCs w:val="24"/>
                <w:lang w:val="ru-RU" w:eastAsia="en-US" w:bidi="ar-SA"/>
              </w:rPr>
              <w:t>             –        рассчитанная оценка предпочтительности по данному частному критерию оценки в баллах.</w:t>
            </w:r>
          </w:p>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Опыт, несоответствующий установленным в Документации о закупке требованиям, не оценивается.</w:t>
            </w:r>
          </w:p>
          <w:p>
            <w:pPr>
              <w:pStyle w:val="Style29"/>
              <w:widowControl w:val="false"/>
              <w:suppressAutoHyphens w:val="true"/>
              <w:spacing w:before="40" w:after="40"/>
              <w:jc w:val="left"/>
              <w:rPr>
                <w:sz w:val="20"/>
                <w:szCs w:val="20"/>
              </w:rPr>
            </w:pPr>
            <w:r>
              <w:rPr>
                <w:rFonts w:eastAsia="Times New Roman" w:cs="Times New Roman"/>
                <w:color w:val="000000" w:themeColor="text1"/>
                <w:kern w:val="0"/>
                <w:sz w:val="20"/>
                <w:szCs w:val="24"/>
                <w:lang w:val="ru-RU" w:eastAsia="ru-RU" w:bidi="ar-SA"/>
              </w:rPr>
              <w:t>Шкала оценок от 0 до 5 баллов.</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ascii="Times New Roman" w:hAnsi="Times New Roman" w:eastAsia="Calibri" w:cs=""/>
                <w:kern w:val="0"/>
                <w:lang w:val="ru-RU" w:bidi="ar-SA"/>
              </w:rPr>
            </w:pPr>
            <w:bookmarkStart w:id="398" w:name="_Ref143679939"/>
            <w:r>
              <w:rPr>
                <w:rFonts w:eastAsia="Calibri" w:cs=""/>
                <w:kern w:val="0"/>
                <w:sz w:val="18"/>
                <w:szCs w:val="18"/>
                <w:lang w:val="ru-RU" w:eastAsia="ru-RU" w:bidi="ar-SA"/>
              </w:rPr>
              <w:t>3.</w:t>
            </w:r>
            <w:bookmarkEnd w:id="398"/>
          </w:p>
        </w:tc>
        <w:tc>
          <w:tcPr>
            <w:tcW w:w="144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ascii="Times New Roman" w:hAnsi="Times New Roman" w:eastAsia="Calibri" w:cs=""/>
                <w:kern w:val="0"/>
                <w:lang w:val="ru-RU" w:bidi="ar-SA"/>
              </w:rPr>
            </w:pPr>
            <w:r>
              <w:rPr>
                <w:rFonts w:eastAsia="Calibri" w:cs=""/>
                <w:kern w:val="0"/>
                <w:sz w:val="18"/>
                <w:szCs w:val="18"/>
                <w:lang w:val="ru-RU" w:eastAsia="ru-RU" w:bidi="ar-SA"/>
              </w:rPr>
              <w:t>Неценовой критерий оценки первого уровня / ОРГ</w:t>
            </w:r>
          </w:p>
        </w:tc>
        <w:tc>
          <w:tcPr>
            <w:tcW w:w="12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ascii="Times New Roman" w:hAnsi="Times New Roman" w:cs=""/>
                <w:kern w:val="0"/>
                <w:lang w:val="ru-RU" w:eastAsia="en-US" w:bidi="ar-SA"/>
              </w:rPr>
            </w:pPr>
            <w:bookmarkStart w:id="399" w:name="Финсостояние"/>
            <w:r>
              <w:rPr>
                <w:rFonts w:eastAsia="Calibri" w:cs=""/>
                <w:kern w:val="0"/>
                <w:sz w:val="18"/>
                <w:szCs w:val="18"/>
                <w:lang w:val="ru-RU" w:eastAsia="en-US" w:bidi="ar-SA"/>
              </w:rPr>
              <w:t>Финансовое состояние (устойчивость) Участника</w:t>
            </w:r>
            <w:bookmarkEnd w:id="399"/>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ascii="Times New Roman" w:hAnsi="Times New Roman" w:eastAsia="Calibri" w:cs=""/>
                <w:kern w:val="0"/>
                <w:lang w:val="ru-RU" w:bidi="ar-SA"/>
              </w:rPr>
            </w:pPr>
            <w:r>
              <w:rPr>
                <w:rFonts w:eastAsia="Calibri" w:cs=""/>
                <w:i/>
                <w:kern w:val="0"/>
                <w:sz w:val="18"/>
                <w:szCs w:val="18"/>
                <w:lang w:val="ru-RU" w:eastAsia="ru-RU" w:bidi="ar-SA"/>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ascii="Times New Roman" w:hAnsi="Times New Roman" w:eastAsia="Calibri"/>
                <w:kern w:val="0"/>
                <w:lang w:val="ru-RU" w:bidi="ar-SA"/>
              </w:rPr>
            </w:pPr>
            <w:r>
              <w:rPr>
                <w:rFonts w:eastAsia="Calibri" w:cs="Times New Roman"/>
                <w:kern w:val="0"/>
                <w:sz w:val="20"/>
                <w:szCs w:val="20"/>
                <w:lang w:val="ru-RU" w:eastAsia="en-US" w:bidi="ar-SA"/>
              </w:rPr>
              <w:t>5%</w:t>
            </w:r>
            <w:r>
              <w:rPr>
                <w:rFonts w:eastAsia="Calibri" w:cs=""/>
                <w:kern w:val="0"/>
                <w:sz w:val="18"/>
                <w:szCs w:val="18"/>
                <w:lang w:val="ru-RU" w:eastAsia="ru-RU" w:bidi="ar-SA"/>
              </w:rPr>
              <w:br/>
              <w:t>(В</w:t>
            </w:r>
            <w:r>
              <w:rPr>
                <w:rFonts w:eastAsia="Calibri" w:cs=""/>
                <w:kern w:val="0"/>
                <w:position w:val="-1"/>
                <w:sz w:val="18"/>
                <w:szCs w:val="18"/>
                <w:lang w:val="ru-RU" w:eastAsia="ru-RU" w:bidi="ar-SA"/>
              </w:rPr>
              <w:t>3</w:t>
            </w:r>
            <w:r>
              <w:rPr>
                <w:rFonts w:eastAsia="Calibri" w:cs=""/>
                <w:kern w:val="0"/>
                <w:sz w:val="18"/>
                <w:szCs w:val="18"/>
                <w:lang w:val="ru-RU" w:eastAsia="ru-RU" w:bidi="ar-SA"/>
              </w:rPr>
              <w:t xml:space="preserve"> = 0,05)</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center"/>
              <w:rPr>
                <w:rFonts w:ascii="Times New Roman" w:hAnsi="Times New Roman" w:cs=""/>
                <w:kern w:val="0"/>
                <w:lang w:val="ru-RU" w:eastAsia="en-US" w:bidi="ar-SA"/>
              </w:rPr>
            </w:pPr>
            <w:r>
              <w:rPr>
                <w:rFonts w:eastAsia="Calibri" w:cs=""/>
                <w:kern w:val="0"/>
                <w:sz w:val="18"/>
                <w:szCs w:val="18"/>
                <w:lang w:val="ru-RU" w:eastAsia="en-US" w:bidi="ar-SA"/>
              </w:rPr>
              <w:t>Чем выше результат оценки финансового состояния (устойчивости) Участника, тем выше предпочтительность</w:t>
            </w:r>
          </w:p>
        </w:tc>
        <w:tc>
          <w:tcPr>
            <w:tcW w:w="75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ListParagraph"/>
              <w:widowControl w:val="false"/>
              <w:numPr>
                <w:ilvl w:val="0"/>
                <w:numId w:val="16"/>
              </w:numPr>
              <w:suppressAutoHyphens w:val="true"/>
              <w:spacing w:before="40" w:after="40"/>
              <w:ind w:left="0" w:firstLine="360"/>
              <w:contextualSpacing/>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 xml:space="preserve">Порядок осуществления оценки (значение оцениваемого параметра), в зависимости от полученного Участником (с i-ой заявкой) значения расчетного балла </w:t>
            </w:r>
            <w:bookmarkStart w:id="400" w:name="_Hlk140493522"/>
            <w:r>
              <w:rPr>
                <w:rFonts w:eastAsia="Times New Roman" w:cs="Times New Roman"/>
                <w:color w:val="000000" w:themeColor="text1"/>
                <w:kern w:val="0"/>
                <w:sz w:val="20"/>
                <w:szCs w:val="24"/>
                <w:lang w:val="ru-RU" w:eastAsia="ru-RU" w:bidi="ar-SA"/>
              </w:rPr>
              <w:t>(интегрального показателя финансового состояния)</w:t>
            </w:r>
            <w:bookmarkEnd w:id="400"/>
            <w:r>
              <w:rPr>
                <w:rFonts w:eastAsia="Times New Roman" w:cs="Times New Roman"/>
                <w:color w:val="000000" w:themeColor="text1"/>
                <w:kern w:val="0"/>
                <w:sz w:val="20"/>
                <w:szCs w:val="24"/>
                <w:lang w:val="ru-RU" w:eastAsia="ru-RU" w:bidi="ar-SA"/>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ListParagraph"/>
              <w:widowControl w:val="false"/>
              <w:numPr>
                <w:ilvl w:val="0"/>
                <w:numId w:val="15"/>
              </w:numPr>
              <w:suppressAutoHyphens w:val="true"/>
              <w:spacing w:before="40" w:after="40"/>
              <w:ind w:left="0" w:firstLine="360"/>
              <w:contextualSpacing/>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порядок проведения оценки финансового состояния (устойчивости) Участника</w:t>
            </w:r>
            <w:r>
              <w:rPr>
                <w:rStyle w:val="FootnoteReference"/>
                <w:rFonts w:eastAsia="Calibri" w:cs=""/>
                <w:kern w:val="0"/>
                <w:sz w:val="26"/>
                <w:szCs w:val="22"/>
                <w:vertAlign w:val="superscript"/>
                <w:lang w:val="ru-RU" w:eastAsia="ru-RU" w:bidi="ar-SA"/>
              </w:rPr>
              <w:footnoteReference w:id="15"/>
            </w:r>
            <w:r>
              <w:rPr>
                <w:rFonts w:eastAsia="Times New Roman" w:cs="Times New Roman"/>
                <w:color w:val="000000" w:themeColor="text1"/>
                <w:kern w:val="0"/>
                <w:sz w:val="20"/>
                <w:szCs w:val="24"/>
                <w:vertAlign w:val="superscript"/>
                <w:lang w:val="ru-RU" w:eastAsia="ru-RU" w:bidi="ar-SA"/>
              </w:rPr>
              <w:t xml:space="preserve"> </w:t>
            </w:r>
            <w:r>
              <w:rPr>
                <w:rFonts w:eastAsia="Times New Roman" w:cs="Times New Roman"/>
                <w:color w:val="000000" w:themeColor="text1"/>
                <w:kern w:val="0"/>
                <w:sz w:val="20"/>
                <w:szCs w:val="24"/>
                <w:lang w:val="ru-RU" w:eastAsia="ru-RU" w:bidi="ar-SA"/>
              </w:rPr>
              <w:t>установлен Приложением 5 к Положению об аккредитации;</w:t>
            </w:r>
          </w:p>
          <w:p>
            <w:pPr>
              <w:pStyle w:val="ListParagraph"/>
              <w:widowControl w:val="false"/>
              <w:numPr>
                <w:ilvl w:val="0"/>
                <w:numId w:val="15"/>
              </w:numPr>
              <w:suppressAutoHyphens w:val="true"/>
              <w:spacing w:before="40" w:after="40"/>
              <w:ind w:left="0" w:firstLine="360"/>
              <w:contextualSpacing/>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34" w:tgtFrame="_top">
              <w:r>
                <w:rPr>
                  <w:rFonts w:eastAsia="Times New Roman" w:cs="Times New Roman"/>
                  <w:color w:val="000000" w:themeColor="text1"/>
                  <w:kern w:val="0"/>
                  <w:sz w:val="20"/>
                  <w:szCs w:val="24"/>
                  <w:lang w:val="ru-RU" w:eastAsia="ru-RU" w:bidi="ar-SA"/>
                </w:rPr>
                <w:t>https://bo.nalog.ru</w:t>
              </w:r>
            </w:hyperlink>
            <w:r>
              <w:rPr>
                <w:rFonts w:eastAsia="Times New Roman" w:cs="Times New Roman"/>
                <w:color w:val="000000" w:themeColor="text1"/>
                <w:kern w:val="0"/>
                <w:sz w:val="20"/>
                <w:szCs w:val="24"/>
                <w:lang w:val="ru-RU" w:eastAsia="ru-RU" w:bidi="ar-SA"/>
              </w:rPr>
              <w:t>) за предыдущий отчетный период (год).</w:t>
            </w:r>
          </w:p>
          <w:p>
            <w:pPr>
              <w:pStyle w:val="ListParagraph"/>
              <w:widowControl w:val="false"/>
              <w:numPr>
                <w:ilvl w:val="0"/>
                <w:numId w:val="16"/>
              </w:numPr>
              <w:suppressAutoHyphens w:val="true"/>
              <w:spacing w:before="40" w:after="40"/>
              <w:ind w:left="0" w:firstLine="360"/>
              <w:contextualSpacing/>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ListParagraph"/>
              <w:widowControl w:val="false"/>
              <w:numPr>
                <w:ilvl w:val="0"/>
                <w:numId w:val="16"/>
              </w:numPr>
              <w:suppressAutoHyphens w:val="true"/>
              <w:spacing w:before="40" w:after="40"/>
              <w:ind w:left="0" w:firstLine="360"/>
              <w:contextualSpacing/>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Оценки предпочтительности по частному критерию осуществляется в соответствии со шкалой:</w:t>
            </w:r>
          </w:p>
          <w:tbl>
            <w:tblPr>
              <w:tblW w:w="731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884"/>
              <w:gridCol w:w="6428"/>
            </w:tblGrid>
            <w:tr>
              <w:trPr>
                <w:cantSplit w:val="true"/>
              </w:trPr>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Б3 = 0</w:t>
                  </w:r>
                </w:p>
              </w:tc>
              <w:tc>
                <w:tcPr>
                  <w:tcW w:w="64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Результат оценки финансового состояния (устойчивости): менее 0,45 балла – Кризисное финансовое состояние;</w:t>
                  </w:r>
                </w:p>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или</w:t>
                  </w:r>
                </w:p>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в случае отсутствия исходных данных для оценки финансового состояния Участника, в том числе если он является:</w:t>
                  </w:r>
                </w:p>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trPr>
                <w:cantSplit w:val="true"/>
              </w:trPr>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Б3 = 3</w:t>
                  </w:r>
                </w:p>
              </w:tc>
              <w:tc>
                <w:tcPr>
                  <w:tcW w:w="64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trPr>
                <w:cantSplit w:val="true"/>
              </w:trPr>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Б3 = 5</w:t>
                  </w:r>
                </w:p>
              </w:tc>
              <w:tc>
                <w:tcPr>
                  <w:tcW w:w="64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sz w:val="20"/>
                      <w:szCs w:val="24"/>
                      <w:lang w:eastAsia="ru-RU"/>
                    </w:rPr>
                    <w:t>Результат оценки финансового состояния (устойчивости): более 0,90 балла – Удовлетворительное финансовое состояние.</w:t>
                  </w:r>
                </w:p>
              </w:tc>
            </w:tr>
          </w:tbl>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где:</w:t>
            </w:r>
          </w:p>
          <w:p>
            <w:pPr>
              <w:pStyle w:val="Normal"/>
              <w:widowControl w:val="false"/>
              <w:tabs>
                <w:tab w:val="clear" w:pos="708"/>
                <w:tab w:val="left" w:pos="742" w:leader="none"/>
                <w:tab w:val="left" w:pos="1167" w:leader="none"/>
              </w:tabs>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Б3</w:t>
              <w:tab/>
              <w:t>–</w:t>
              <w:tab/>
              <w:t>рассчитанная оценка предпочтительности по данному частному критерию оценки в баллах.</w:t>
            </w:r>
          </w:p>
          <w:p>
            <w:pPr>
              <w:pStyle w:val="Normal"/>
              <w:widowControl w:val="false"/>
              <w:suppressAutoHyphens w:val="true"/>
              <w:spacing w:before="40" w:after="40"/>
              <w:jc w:val="both"/>
              <w:rPr>
                <w:rFonts w:eastAsia="Times New Roman" w:cs="Times New Roman"/>
                <w:color w:val="000000" w:themeColor="text1"/>
                <w:sz w:val="20"/>
                <w:szCs w:val="24"/>
                <w:lang w:eastAsia="ru-RU"/>
              </w:rPr>
            </w:pPr>
            <w:bookmarkStart w:id="401" w:name="_Toc151555394"/>
            <w:r>
              <w:rPr>
                <w:rFonts w:eastAsia="Times New Roman" w:cs="Times New Roman"/>
                <w:color w:val="000000" w:themeColor="text1"/>
                <w:kern w:val="0"/>
                <w:sz w:val="20"/>
                <w:szCs w:val="24"/>
                <w:lang w:val="ru-RU" w:eastAsia="ru-RU"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401"/>
          </w:p>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 8).</w:t>
            </w:r>
          </w:p>
          <w:p>
            <w:pPr>
              <w:pStyle w:val="Normal"/>
              <w:widowControl w:val="false"/>
              <w:suppressAutoHyphens w:val="true"/>
              <w:spacing w:before="40" w:after="40"/>
              <w:jc w:val="both"/>
              <w:rPr>
                <w:rFonts w:eastAsia="Times New Roman" w:cs="Times New Roman"/>
                <w:color w:val="000000" w:themeColor="text1"/>
                <w:sz w:val="20"/>
                <w:szCs w:val="24"/>
                <w:lang w:eastAsia="ru-RU"/>
              </w:rPr>
            </w:pPr>
            <w:r>
              <w:rPr>
                <w:rFonts w:eastAsia="Times New Roman" w:cs="Times New Roman"/>
                <w:color w:val="000000" w:themeColor="text1"/>
                <w:kern w:val="0"/>
                <w:sz w:val="20"/>
                <w:szCs w:val="24"/>
                <w:lang w:val="ru-RU" w:eastAsia="ru-RU" w:bidi="ar-SA"/>
              </w:rPr>
              <w:t>Шкала оценок от 0 до 5 баллов.</w:t>
            </w:r>
          </w:p>
        </w:tc>
      </w:tr>
      <w:tr>
        <w:trPr/>
        <w:tc>
          <w:tcPr>
            <w:tcW w:w="4963"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40"/>
              <w:jc w:val="left"/>
              <w:rPr>
                <w:rFonts w:eastAsia="Calibri" w:cs="Times New Roman"/>
                <w:sz w:val="20"/>
                <w:szCs w:val="20"/>
              </w:rPr>
            </w:pPr>
            <w:r>
              <w:rPr>
                <w:rFonts w:eastAsia="Calibri" w:cs="Times New Roman"/>
                <w:kern w:val="0"/>
                <w:sz w:val="20"/>
                <w:szCs w:val="20"/>
                <w:lang w:val="ru-RU" w:eastAsia="en-US" w:bidi="ar-SA"/>
              </w:rPr>
              <w:t>Итоговая оценка предпочтительности заявки:</w:t>
            </w:r>
          </w:p>
        </w:tc>
        <w:tc>
          <w:tcPr>
            <w:tcW w:w="1034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40" w:after="0"/>
              <w:jc w:val="left"/>
              <w:rPr>
                <w:rFonts w:eastAsia="Times New Roman" w:cs="Times New Roman (???????? ?????"/>
                <w:color w:val="000000" w:themeColor="text1"/>
                <w:sz w:val="18"/>
                <w:szCs w:val="18"/>
              </w:rPr>
            </w:pPr>
            <w:r>
              <w:rPr>
                <w:rFonts w:eastAsia="Times New Roman" w:cs="Times New Roman (???????? ?????"/>
                <w:color w:val="000000" w:themeColor="text1"/>
                <w:kern w:val="0"/>
                <w:sz w:val="18"/>
                <w:szCs w:val="18"/>
                <w:lang w:val="ru-RU" w:eastAsia="en-US" w:bidi="ar-SA"/>
              </w:rPr>
              <w:t xml:space="preserve">Расчет итоговой оценки предпочтительности </w:t>
            </w:r>
            <w:r>
              <w:rPr>
                <w:rFonts w:eastAsia="Times New Roman" w:cs="Times New Roman (???????? ?????"/>
                <w:i/>
                <w:color w:val="000000" w:themeColor="text1"/>
                <w:kern w:val="0"/>
                <w:sz w:val="18"/>
                <w:szCs w:val="18"/>
                <w:lang w:val="en-US" w:eastAsia="en-US" w:bidi="ar-SA"/>
              </w:rPr>
              <w:t>i</w:t>
            </w:r>
            <w:r>
              <w:rPr>
                <w:rFonts w:eastAsia="Times New Roman" w:cs="Times New Roman (???????? ?????"/>
                <w:color w:val="000000" w:themeColor="text1"/>
                <w:kern w:val="0"/>
                <w:sz w:val="18"/>
                <w:szCs w:val="18"/>
                <w:lang w:val="ru-RU" w:eastAsia="en-US" w:bidi="ar-SA"/>
              </w:rPr>
              <w:t>-ой заявки:</w:t>
            </w:r>
          </w:p>
          <w:p>
            <w:pPr>
              <w:pStyle w:val="Normal"/>
              <w:keepNext w:val="true"/>
              <w:widowControl w:val="false"/>
              <w:suppressAutoHyphens w:val="true"/>
              <w:spacing w:before="60" w:after="0"/>
              <w:jc w:val="center"/>
              <w:rPr>
                <w:rFonts w:eastAsia="Times New Roman" w:cs="Times New Roman (???????? ?????"/>
                <w:color w:val="000000" w:themeColor="text1"/>
                <w:sz w:val="18"/>
                <w:szCs w:val="18"/>
              </w:rPr>
            </w:pPr>
            <w:r>
              <w:rPr>
                <w:rFonts w:eastAsia="Times New Roman" w:cs="Times New Roman (???????? ?????"/>
                <w:color w:val="000000" w:themeColor="text1"/>
                <w:sz w:val="18"/>
                <w:szCs w:val="18"/>
              </w:rPr>
            </w:r>
          </w:p>
          <w:p>
            <w:pPr>
              <w:pStyle w:val="Normal"/>
              <w:keepNext w:val="true"/>
              <w:widowControl w:val="false"/>
              <w:suppressAutoHyphens w:val="true"/>
              <w:spacing w:before="96" w:after="0"/>
              <w:jc w:val="center"/>
              <w:rPr>
                <w:rFonts w:eastAsia="Times New Roman" w:cs="Times New Roman (???????? ?????"/>
                <w:color w:val="000000" w:themeColor="text1"/>
                <w:sz w:val="20"/>
                <w:szCs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r>
                          <w:rPr>
                            <w:rFonts w:ascii="Cambria Math" w:hAnsi="Cambria Math"/>
                          </w:rPr>
                          <m:t xml:space="preserve">×</m:t>
                        </m:r>
                        <m:sSub>
                          <m:e>
                            <m:r>
                              <w:rPr>
                                <w:rFonts w:ascii="Cambria Math" w:hAnsi="Cambria Math"/>
                              </w:rPr>
                              <m:t xml:space="preserve">В</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e>
                    </m:d>
                  </m:e>
                </m:nary>
                <m:r>
                  <w:rPr>
                    <w:rFonts w:ascii="Cambria Math" w:hAnsi="Cambria Math"/>
                  </w:rPr>
                  <m:t xml:space="preserve">,</m:t>
                </m:r>
              </m:oMath>
            </m:oMathPara>
          </w:p>
          <w:p>
            <w:pPr>
              <w:pStyle w:val="Normal"/>
              <w:keepNext w:val="true"/>
              <w:widowControl w:val="false"/>
              <w:suppressAutoHyphens w:val="true"/>
              <w:spacing w:before="96" w:after="0"/>
              <w:jc w:val="left"/>
              <w:rPr>
                <w:rFonts w:eastAsia="Times New Roman" w:cs="Times New Roman (???????? ?????"/>
                <w:color w:val="000000" w:themeColor="text1"/>
                <w:sz w:val="18"/>
                <w:szCs w:val="18"/>
              </w:rPr>
            </w:pPr>
            <w:r>
              <w:rPr>
                <w:rFonts w:eastAsia="Times New Roman" w:cs="Times New Roman (???????? ?????"/>
                <w:color w:val="000000" w:themeColor="text1"/>
                <w:kern w:val="0"/>
                <w:sz w:val="18"/>
                <w:szCs w:val="18"/>
                <w:lang w:val="ru-RU" w:eastAsia="en-US" w:bidi="ar-SA"/>
              </w:rPr>
              <w:t>где:</w:t>
            </w:r>
          </w:p>
          <w:p>
            <w:pPr>
              <w:pStyle w:val="Normal"/>
              <w:widowControl w:val="false"/>
              <w:tabs>
                <w:tab w:val="clear" w:pos="708"/>
                <w:tab w:val="left" w:pos="742" w:leader="none"/>
                <w:tab w:val="left" w:pos="1167" w:leader="none"/>
              </w:tabs>
              <w:suppressAutoHyphens w:val="true"/>
              <w:spacing w:before="60" w:after="0"/>
              <w:jc w:val="left"/>
              <w:rPr>
                <w:rFonts w:eastAsia="Times New Roman" w:cs="Times New Roman (???????? ?????"/>
                <w:color w:val="000000" w:themeColor="text1"/>
                <w:sz w:val="18"/>
                <w:szCs w:val="18"/>
              </w:rPr>
            </w:pPr>
            <w:r>
              <w:rPr>
                <w:rFonts w:eastAsia="Times New Roman" w:cs="Times New Roman (???????? ?????"/>
                <w:color w:val="000000" w:themeColor="text1"/>
                <w:kern w:val="0"/>
                <w:sz w:val="18"/>
                <w:szCs w:val="18"/>
                <w:lang w:val="ru-RU" w:eastAsia="en-US" w:bidi="ar-SA"/>
              </w:rPr>
              <w:t>Б</w:t>
            </w:r>
            <w:r>
              <w:rPr>
                <w:rFonts w:eastAsia="Times New Roman" w:cs="Times New Roman (???????? ?????"/>
                <w:color w:val="000000" w:themeColor="text1"/>
                <w:kern w:val="0"/>
                <w:sz w:val="18"/>
                <w:szCs w:val="18"/>
                <w:vertAlign w:val="subscript"/>
                <w:lang w:val="ru-RU" w:eastAsia="en-US" w:bidi="ar-SA"/>
              </w:rPr>
              <w:t>ИТОГ</w:t>
            </w:r>
            <w:r>
              <w:rPr>
                <w:rFonts w:eastAsia="Times New Roman" w:cs="Times New Roman (???????? ?????"/>
                <w:color w:val="000000" w:themeColor="text1"/>
                <w:kern w:val="0"/>
                <w:sz w:val="18"/>
                <w:szCs w:val="18"/>
                <w:lang w:val="ru-RU" w:eastAsia="en-US" w:bidi="ar-SA"/>
              </w:rPr>
              <w:tab/>
              <w:t>–</w:t>
              <w:tab/>
              <w:t>рассчитанная итоговая оценка предпочтительности в баллах;</w:t>
            </w:r>
          </w:p>
          <w:p>
            <w:pPr>
              <w:pStyle w:val="Normal"/>
              <w:widowControl w:val="false"/>
              <w:tabs>
                <w:tab w:val="clear" w:pos="708"/>
                <w:tab w:val="left" w:pos="742" w:leader="none"/>
                <w:tab w:val="left" w:pos="1167" w:leader="none"/>
              </w:tabs>
              <w:suppressAutoHyphens w:val="true"/>
              <w:spacing w:before="60" w:after="0"/>
              <w:jc w:val="left"/>
              <w:rPr>
                <w:rFonts w:eastAsia="Times New Roman" w:cs="Times New Roman (???????? ?????"/>
                <w:color w:val="000000" w:themeColor="text1"/>
                <w:sz w:val="18"/>
                <w:szCs w:val="18"/>
              </w:rPr>
            </w:pPr>
            <w:r>
              <w:rPr>
                <w:rFonts w:eastAsia="Times New Roman" w:cs="Times New Roman (???????? ?????"/>
                <w:color w:val="000000" w:themeColor="text1"/>
                <w:kern w:val="0"/>
                <w:sz w:val="18"/>
                <w:szCs w:val="18"/>
                <w:lang w:val="ru-RU" w:eastAsia="en-US" w:bidi="ar-SA"/>
              </w:rPr>
              <w:t>Б</w:t>
            </w:r>
            <w:r>
              <w:rPr>
                <w:rFonts w:eastAsia="Times New Roman" w:cs="Times New Roman (???????? ?????"/>
                <w:color w:val="000000" w:themeColor="text1"/>
                <w:kern w:val="0"/>
                <w:sz w:val="18"/>
                <w:szCs w:val="18"/>
                <w:vertAlign w:val="subscript"/>
                <w:lang w:val="ru-RU" w:eastAsia="en-US" w:bidi="ar-SA"/>
              </w:rPr>
              <w:t>1 уровень k</w:t>
            </w:r>
            <w:r>
              <w:rPr>
                <w:rFonts w:eastAsia="Times New Roman" w:cs="Times New Roman (???????? ?????"/>
                <w:color w:val="000000" w:themeColor="text1"/>
                <w:kern w:val="0"/>
                <w:sz w:val="18"/>
                <w:szCs w:val="18"/>
                <w:lang w:val="ru-RU" w:eastAsia="en-US" w:bidi="ar-SA"/>
              </w:rPr>
              <w:tab/>
              <w:t>–</w:t>
              <w:tab/>
              <w:t>оценка предпочтительности по k-тому критерию оценки первого уровня в баллах;</w:t>
            </w:r>
          </w:p>
          <w:p>
            <w:pPr>
              <w:pStyle w:val="Normal"/>
              <w:widowControl w:val="false"/>
              <w:numPr>
                <w:ilvl w:val="6"/>
                <w:numId w:val="14"/>
              </w:numPr>
              <w:tabs>
                <w:tab w:val="clear" w:pos="708"/>
                <w:tab w:val="left" w:pos="742" w:leader="none"/>
                <w:tab w:val="left" w:pos="1167" w:leader="none"/>
                <w:tab w:val="left" w:pos="1440" w:leader="none"/>
                <w:tab w:val="left" w:pos="2736" w:leader="none"/>
              </w:tabs>
              <w:suppressAutoHyphens w:val="true"/>
              <w:spacing w:before="60" w:after="120"/>
              <w:ind w:left="0" w:hanging="1440"/>
              <w:jc w:val="left"/>
              <w:rPr>
                <w:rFonts w:eastAsia="Times New Roman" w:cs="Times New Roman"/>
                <w:color w:val="000000" w:themeColor="text1"/>
                <w:sz w:val="18"/>
                <w:szCs w:val="18"/>
                <w:lang w:eastAsia="ru-RU"/>
              </w:rPr>
            </w:pPr>
            <w:r>
              <w:rPr>
                <w:rFonts w:eastAsia="Times New Roman" w:cs="Times New Roman"/>
                <w:color w:val="000000" w:themeColor="text1"/>
                <w:kern w:val="0"/>
                <w:sz w:val="18"/>
                <w:szCs w:val="18"/>
                <w:lang w:val="ru-RU" w:eastAsia="en-US" w:bidi="ar-SA"/>
              </w:rPr>
              <w:t>В</w:t>
            </w:r>
            <w:r>
              <w:rPr>
                <w:rFonts w:eastAsia="Times New Roman" w:cs="Times New Roman"/>
                <w:color w:val="000000" w:themeColor="text1"/>
                <w:kern w:val="0"/>
                <w:sz w:val="18"/>
                <w:szCs w:val="18"/>
                <w:vertAlign w:val="subscript"/>
                <w:lang w:val="ru-RU" w:eastAsia="en-US" w:bidi="ar-SA"/>
              </w:rPr>
              <w:t>1 уровень k</w:t>
            </w:r>
            <w:r>
              <w:rPr>
                <w:rFonts w:eastAsia="Times New Roman" w:cs="Times New Roman"/>
                <w:color w:val="000000" w:themeColor="text1"/>
                <w:kern w:val="0"/>
                <w:sz w:val="18"/>
                <w:szCs w:val="18"/>
                <w:lang w:val="ru-RU" w:eastAsia="en-US" w:bidi="ar-SA"/>
              </w:rPr>
              <w:tab/>
              <w:t>–</w:t>
              <w:tab/>
              <w:t>значимость k-ого критерия оценки первого уровня, выраженная в диапазоне от 1% до 100% (или от 0,01 до 1,00) – вес k-ого критерия оценки первого уровня.</w:t>
            </w:r>
          </w:p>
        </w:tc>
      </w:tr>
    </w:tbl>
    <w:p>
      <w:pPr>
        <w:pStyle w:val="Style25"/>
        <w:numPr>
          <w:ilvl w:val="0"/>
          <w:numId w:val="0"/>
        </w:numPr>
        <w:ind w:left="1134" w:hanging="0"/>
        <w:rPr/>
      </w:pPr>
      <w:r>
        <w:rPr/>
      </w:r>
    </w:p>
    <w:p>
      <w:pPr>
        <w:pStyle w:val="Style25"/>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5"/>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p>
    <w:p>
      <w:pPr>
        <w:sectPr>
          <w:headerReference w:type="default" r:id="rId35"/>
          <w:headerReference w:type="first" r:id="rId36"/>
          <w:footerReference w:type="default" r:id="rId37"/>
          <w:footerReference w:type="first" r:id="rId38"/>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5"/>
        <w:rPr/>
      </w:pPr>
      <w:r>
        <w:rP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pPr>
        <w:pStyle w:val="Style23"/>
        <w:rPr/>
      </w:pPr>
      <w:bookmarkStart w:id="402" w:name="Прил09_ОбоснованиеНМЦ"/>
      <w:bookmarkStart w:id="403" w:name="_Toc187768004"/>
      <w:bookmarkStart w:id="404" w:name="_Ref125360420"/>
      <w:bookmarkStart w:id="405" w:name="_Toc136249262"/>
      <w:bookmarkStart w:id="406" w:name="_Toc136261692"/>
      <w:bookmarkStart w:id="407" w:name="_Toc136249263"/>
      <w:bookmarkStart w:id="408" w:name="_Toc136261768"/>
      <w:bookmarkStart w:id="409" w:name="_Toc136261691"/>
      <w:bookmarkStart w:id="410" w:name="_Toc136261767"/>
      <w:bookmarkStart w:id="411" w:name="_Toc136249261"/>
      <w:bookmarkStart w:id="412" w:name="_Toc136261766"/>
      <w:bookmarkStart w:id="413" w:name="_Toc136261689"/>
      <w:bookmarkStart w:id="414" w:name="_Toc136249260"/>
      <w:bookmarkStart w:id="415" w:name="_Toc136261769"/>
      <w:bookmarkStart w:id="416" w:name="_Toc136261690"/>
      <w:bookmarkEnd w:id="405"/>
      <w:bookmarkEnd w:id="406"/>
      <w:bookmarkEnd w:id="407"/>
      <w:bookmarkEnd w:id="408"/>
      <w:bookmarkEnd w:id="409"/>
      <w:bookmarkEnd w:id="410"/>
      <w:bookmarkEnd w:id="411"/>
      <w:bookmarkEnd w:id="412"/>
      <w:bookmarkEnd w:id="413"/>
      <w:bookmarkEnd w:id="414"/>
      <w:bookmarkEnd w:id="415"/>
      <w:bookmarkEnd w:id="416"/>
      <w:r>
        <w:rPr/>
        <w:t>Приложение № 9 – Обоснование НМЦ</w:t>
      </w:r>
      <w:bookmarkEnd w:id="402"/>
      <w:bookmarkEnd w:id="403"/>
      <w:bookmarkEnd w:id="404"/>
    </w:p>
    <w:p>
      <w:pPr>
        <w:pStyle w:val="Style24"/>
        <w:rPr/>
      </w:pPr>
      <w:bookmarkStart w:id="417" w:name="_Toc187768005"/>
      <w:r>
        <w:rPr/>
        <w:t>Пояснения к Обоснованию НМЦ</w:t>
      </w:r>
      <w:bookmarkEnd w:id="417"/>
    </w:p>
    <w:p>
      <w:pPr>
        <w:pStyle w:val="Style25"/>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3"/>
        <w:rPr/>
      </w:pPr>
      <w:bookmarkStart w:id="418" w:name="_Toc187768006"/>
      <w:bookmarkStart w:id="419" w:name="Прил10_ЗаявкаНаАккредитацию"/>
      <w:bookmarkEnd w:id="419"/>
      <w:r>
        <w:rPr/>
        <w:t>Приложение № 10 – Форма Заявки на аккредитацию</w:t>
      </w:r>
      <w:bookmarkEnd w:id="418"/>
    </w:p>
    <w:p>
      <w:pPr>
        <w:pStyle w:val="Style24"/>
        <w:rPr/>
      </w:pPr>
      <w:bookmarkStart w:id="420" w:name="_Toc187768007"/>
      <w:r>
        <w:rPr/>
        <w:t>Пояснения к форме Заявки на аккредитацию</w:t>
      </w:r>
      <w:bookmarkEnd w:id="420"/>
    </w:p>
    <w:p>
      <w:pPr>
        <w:pStyle w:val="Style25"/>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9"/>
        <w:jc w:val="center"/>
        <w:rPr/>
      </w:pPr>
      <w:r>
        <w:rPr/>
        <w:object>
          <v:shapetype id="_x0000_tole_rId39" coordsize="21600,21600" o:spt="ole_rId3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9" type="_x0000_tole_rId39" style="width:78.45pt;height:49.45pt;mso-wrap-distance-right:0pt" filled="f" o:ole="">
            <v:imagedata r:id="rId40" o:title=""/>
          </v:shape>
          <o:OLEObject Type="Embed" ProgID="Excel.Sheet.12" ShapeID="ole_rId39" DrawAspect="Icon" ObjectID="_92692868" r:id="rId39"/>
        </w:object>
      </w:r>
    </w:p>
    <w:sectPr>
      <w:headerReference w:type="default" r:id="rId41"/>
      <w:headerReference w:type="first" r:id="rId42"/>
      <w:footerReference w:type="default" r:id="rId43"/>
      <w:footerReference w:type="first" r:id="rId44"/>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Microsoft Himalaya">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80733182"/>
    </w:sdtPr>
    <w:sdtContent>
      <w:p>
        <w:pPr>
          <w:pStyle w:val="Footer"/>
          <w:spacing w:before="120" w:after="0"/>
          <w:rPr/>
        </w:pPr>
        <w:r>
          <w:rPr/>
          <w:fldChar w:fldCharType="begin"/>
        </w:r>
        <w:r>
          <w:rPr/>
          <w:instrText xml:space="preserve"> PAGE </w:instrText>
        </w:r>
        <w:r>
          <w:rPr/>
          <w:fldChar w:fldCharType="separate"/>
        </w:r>
        <w:r>
          <w:rPr/>
          <w:t>66</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73910154"/>
    </w:sdtPr>
    <w:sdtContent>
      <w:p>
        <w:pPr>
          <w:pStyle w:val="Footer"/>
          <w:spacing w:before="120" w:after="0"/>
          <w:rPr/>
        </w:pPr>
        <w:r>
          <w:rPr/>
          <w:fldChar w:fldCharType="begin"/>
        </w:r>
        <w:r>
          <w:rPr/>
          <w:instrText xml:space="preserve"> PAGE </w:instrText>
        </w:r>
        <w:r>
          <w:rPr/>
          <w:fldChar w:fldCharType="separate"/>
        </w:r>
        <w:r>
          <w:rPr/>
          <w:t>72</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49850592"/>
    </w:sdtPr>
    <w:sdtContent>
      <w:p>
        <w:pPr>
          <w:pStyle w:val="Footer"/>
          <w:spacing w:before="120" w:after="0"/>
          <w:rPr/>
        </w:pPr>
        <w:r>
          <w:rPr/>
          <w:fldChar w:fldCharType="begin"/>
        </w:r>
        <w:r>
          <w:rPr/>
          <w:instrText xml:space="preserve"> PAGE </w:instrText>
        </w:r>
        <w:r>
          <w:rPr/>
          <w:fldChar w:fldCharType="separate"/>
        </w:r>
        <w:r>
          <w:rPr/>
          <w:t>76</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59963620"/>
    </w:sdtPr>
    <w:sdtContent>
      <w:p>
        <w:pPr>
          <w:pStyle w:val="Footer"/>
          <w:spacing w:before="120" w:after="0"/>
          <w:rPr/>
        </w:pPr>
        <w:r>
          <w:rPr/>
          <w:fldChar w:fldCharType="begin"/>
        </w:r>
        <w:r>
          <w:rPr/>
          <w:instrText xml:space="preserve"> PAGE </w:instrText>
        </w:r>
        <w:r>
          <w:rPr/>
          <w:fldChar w:fldCharType="separate"/>
        </w:r>
        <w:r>
          <w:rPr/>
          <w:t>78</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76939271"/>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55372003"/>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16731541"/>
    </w:sdtPr>
    <w:sdtContent>
      <w:p>
        <w:pPr>
          <w:pStyle w:val="Footer"/>
          <w:spacing w:before="120" w:after="0"/>
          <w:rPr/>
        </w:pPr>
        <w:r>
          <w:rPr/>
          <w:fldChar w:fldCharType="begin"/>
        </w:r>
        <w:r>
          <w:rPr/>
          <w:instrText xml:space="preserve"> PAGE </w:instrText>
        </w:r>
        <w:r>
          <w:rPr/>
          <w:fldChar w:fldCharType="separate"/>
        </w:r>
        <w:r>
          <w:rPr/>
          <w:t>52</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47213433"/>
    </w:sdtPr>
    <w:sdtContent>
      <w:p>
        <w:pPr>
          <w:pStyle w:val="Footer"/>
          <w:spacing w:before="120" w:after="0"/>
          <w:rPr/>
        </w:pPr>
        <w:r>
          <w:rPr/>
          <w:fldChar w:fldCharType="begin"/>
        </w:r>
        <w:r>
          <w:rPr/>
          <w:instrText xml:space="preserve"> PAGE </w:instrText>
        </w:r>
        <w:r>
          <w:rPr/>
          <w:fldChar w:fldCharType="separate"/>
        </w:r>
        <w:r>
          <w:rPr/>
          <w:t>60</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1"/>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1"/>
        <w:spacing w:before="80" w:after="0"/>
        <w:ind w:left="567" w:hanging="567"/>
        <w:jc w:val="both"/>
        <w:rPr/>
      </w:pPr>
      <w:r>
        <w:rPr>
          <w:rStyle w:val="Style13"/>
        </w:rPr>
        <w:footnoteRef/>
      </w:r>
      <w:r>
        <w:rPr/>
        <w:tab/>
        <w:t>Определенные в соответствии с Законом 422-ФЗ.</w:t>
      </w:r>
    </w:p>
  </w:footnote>
  <w:footnote w:id="4">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31"/>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1"/>
        <w:spacing w:before="80" w:after="0"/>
        <w:ind w:left="567" w:hanging="567"/>
        <w:jc w:val="both"/>
        <w:rPr/>
      </w:pPr>
      <w:r>
        <w:rPr>
          <w:rStyle w:val="Style13"/>
        </w:rPr>
        <w:footnoteRef/>
      </w:r>
      <w:r>
        <w:rPr/>
        <w:tab/>
        <w:t>С учетом пункта </w:t>
      </w:r>
      <w:r>
        <w:rPr/>
        <w:fldChar w:fldCharType="begin"/>
      </w:r>
      <w:r>
        <w:rPr/>
        <w:instrText xml:space="preserve"> REF _Ref125365558 \w \h </w:instrText>
      </w:r>
      <w:r>
        <w:rPr/>
        <w:fldChar w:fldCharType="separate"/>
      </w:r>
      <w:r>
        <w:rPr/>
        <w:t>Ошибка: источник перекрёстной ссылки не найден</w:t>
      </w:r>
      <w:r>
        <w:rPr/>
        <w:fldChar w:fldCharType="end"/>
      </w:r>
      <w:r>
        <w:rPr/>
        <w:t>.</w:t>
      </w:r>
    </w:p>
  </w:footnote>
  <w:footnote w:id="7">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Style31"/>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1"/>
        <w:spacing w:before="80" w:after="0"/>
        <w:ind w:left="567" w:hanging="567"/>
        <w:jc w:val="both"/>
        <w:rPr/>
      </w:pPr>
      <w:r>
        <w:rPr>
          <w:rStyle w:val="Style13"/>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1"/>
        <w:spacing w:before="80" w:after="0"/>
        <w:ind w:left="567" w:hanging="567"/>
        <w:jc w:val="both"/>
        <w:rPr/>
      </w:pPr>
      <w:r>
        <w:rPr>
          <w:rStyle w:val="Style13"/>
        </w:rPr>
        <w:footnoteRef/>
      </w:r>
      <w:r>
        <w:rPr/>
        <w:tab/>
        <w:t>Коллективный участник предоставляет указанные документы на каждого члена.</w:t>
      </w:r>
    </w:p>
  </w:footnote>
  <w:footnote w:id="12">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могут не отражаться сведения, позволяющие идентифицировать Победителя.</w:t>
      </w:r>
    </w:p>
  </w:footnote>
  <w:footnote w:id="13">
    <w:p>
      <w:pPr>
        <w:pStyle w:val="Style31"/>
        <w:spacing w:before="80" w:after="0"/>
        <w:ind w:left="567" w:hanging="567"/>
        <w:jc w:val="both"/>
        <w:rPr/>
      </w:pPr>
      <w:r>
        <w:rPr>
          <w:rStyle w:val="Style13"/>
        </w:rPr>
        <w:footnoteRef/>
      </w:r>
      <w:bookmarkStart w:id="421" w:name="_Hlk139028796_Копия_1_Копия_1_Копия_1"/>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21"/>
    </w:p>
  </w:footnote>
  <w:footnote w:id="14">
    <w:p>
      <w:pPr>
        <w:pStyle w:val="Style31"/>
        <w:spacing w:before="80" w:after="0"/>
        <w:ind w:left="567" w:hanging="567"/>
        <w:jc w:val="both"/>
        <w:rPr/>
      </w:pPr>
      <w:r>
        <w:rPr>
          <w:rStyle w:val="Style13"/>
        </w:rPr>
        <w:footnoteRef/>
      </w:r>
      <w:bookmarkStart w:id="422" w:name="_Hlk139028803_Копия_1_Копия_1_Копия_1"/>
      <w:bookmarkStart w:id="423" w:name="_Hlk139028804_Копия_1_Копия_1_Копия_1"/>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22"/>
      <w:bookmarkEnd w:id="423"/>
    </w:p>
  </w:footnote>
  <w:footnote w:id="15">
    <w:p>
      <w:pPr>
        <w:pStyle w:val="FootnoteText"/>
        <w:rPr>
          <w:rFonts w:cs="Times New Roman"/>
        </w:rPr>
      </w:pPr>
      <w:r>
        <w:rPr>
          <w:rStyle w:val="Style13"/>
        </w:rPr>
        <w:footnoteRef/>
      </w:r>
      <w:r>
        <w:rPr>
          <w:rFonts w:cs="Times New Roman"/>
        </w:rPr>
        <w:tab/>
        <w:t xml:space="preserve"> 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3"/>
      <w:numFmt w:val="decimal"/>
      <w:lvlText w:val="%1."/>
      <w:lvlJc w:val="left"/>
      <w:pPr>
        <w:tabs>
          <w:tab w:val="num" w:pos="1134"/>
        </w:tabs>
        <w:ind w:left="1134" w:hanging="1134"/>
      </w:pPr>
      <w:rPr/>
    </w:lvl>
    <w:lvl w:ilvl="1">
      <w:start w:val="1"/>
      <w:pStyle w:val="Style24"/>
      <w:numFmt w:val="decimal"/>
      <w:lvlText w:val="%1.%2"/>
      <w:lvlJc w:val="left"/>
      <w:pPr>
        <w:tabs>
          <w:tab w:val="num" w:pos="1134"/>
        </w:tabs>
        <w:ind w:left="1134" w:hanging="1134"/>
      </w:pPr>
      <w:rPr/>
    </w:lvl>
    <w:lvl w:ilvl="2">
      <w:start w:val="1"/>
      <w:pStyle w:val="Style25"/>
      <w:numFmt w:val="decimal"/>
      <w:lvlText w:val="%1.%2.%3"/>
      <w:lvlJc w:val="left"/>
      <w:pPr>
        <w:tabs>
          <w:tab w:val="num" w:pos="1134"/>
        </w:tabs>
        <w:ind w:left="1134" w:hanging="1134"/>
      </w:pPr>
      <w:rPr/>
    </w:lvl>
    <w:lvl w:ilvl="3">
      <w:start w:val="1"/>
      <w:pStyle w:val="Style26"/>
      <w:numFmt w:val="russianLower"/>
      <w:lvlText w:val="%4)"/>
      <w:lvlJc w:val="left"/>
      <w:pPr>
        <w:tabs>
          <w:tab w:val="num" w:pos="1701"/>
        </w:tabs>
        <w:ind w:left="1701" w:hanging="567"/>
      </w:pPr>
      <w:rPr/>
    </w:lvl>
    <w:lvl w:ilvl="4">
      <w:start w:val="1"/>
      <w:pStyle w:val="Style27"/>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15">
    <w:lvl w:ilvl="0">
      <w:start w:val="1"/>
      <w:numFmt w:val="bullet"/>
      <w:lvlText w:val="–"/>
      <w:lvlJc w:val="left"/>
      <w:pPr>
        <w:tabs>
          <w:tab w:val="num" w:pos="0"/>
        </w:tabs>
        <w:ind w:left="720" w:hanging="360"/>
      </w:pPr>
      <w:rPr>
        <w:rFonts w:ascii="Microsoft Himalaya" w:hAnsi="Microsoft Himalaya" w:cs="Microsoft Himalay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1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uiPriority="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customStyle="1">
    <w:name w:val="Символ сноски"/>
    <w:qFormat/>
    <w:rsid w:val="009421d0"/>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Internetlink" w:customStyle="1">
    <w:name w:val="Internet link"/>
    <w:basedOn w:val="DefaultParagraphFont"/>
    <w:qFormat/>
    <w:rsid w:val="00f253c4"/>
    <w:rPr>
      <w:color w:val="0563C1"/>
      <w:u w:val="single"/>
    </w:rPr>
  </w:style>
  <w:style w:type="character" w:styleId="Docdata" w:customStyle="1">
    <w:name w:val="docdata"/>
    <w:basedOn w:val="DefaultParagraphFont"/>
    <w:qFormat/>
    <w:rsid w:val="00243635"/>
    <w:rPr/>
  </w:style>
  <w:style w:type="character" w:styleId="3" w:customStyle="1">
    <w:name w:val="УРОВЕНЬ_Абзац_тип3 Знак"/>
    <w:link w:val="31"/>
    <w:qFormat/>
    <w:locked/>
    <w:rsid w:val="009421d0"/>
    <w:rPr>
      <w:rFonts w:eastAsia="Times New Roman" w:cs="Times New Roman"/>
      <w:color w:val="000000" w:themeColor="text1"/>
      <w:szCs w:val="28"/>
    </w:rPr>
  </w:style>
  <w:style w:type="character" w:styleId="Style19">
    <w:name w:val="Ссылка указателя"/>
    <w:qFormat/>
    <w:rPr/>
  </w:style>
  <w:style w:type="character" w:styleId="Style20">
    <w:name w:val="Символ концевой сноски"/>
    <w:qFormat/>
    <w:rPr>
      <w:vertAlign w:val="superscript"/>
    </w:rPr>
  </w:style>
  <w:style w:type="character" w:styleId="EndnoteReference">
    <w:name w:val="Endnote Reference"/>
    <w:rPr>
      <w:vertAlign w:val="superscript"/>
    </w:rPr>
  </w:style>
  <w:style w:type="paragraph" w:styleId="Style21">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2">
    <w:name w:val="Указатель"/>
    <w:basedOn w:val="Normal"/>
    <w:qFormat/>
    <w:pPr>
      <w:suppressLineNumbers/>
    </w:pPr>
    <w:rPr>
      <w:rFonts w:cs="Arial Unicode MS"/>
    </w:rPr>
  </w:style>
  <w:style w:type="paragraph" w:styleId="Style23" w:customStyle="1">
    <w:name w:val="[РГ] Раздел"/>
    <w:basedOn w:val="Normal"/>
    <w:next w:val="Style24"/>
    <w:qFormat/>
    <w:rsid w:val="00c95e18"/>
    <w:pPr>
      <w:keepNext w:val="true"/>
      <w:pageBreakBefore/>
      <w:numPr>
        <w:ilvl w:val="0"/>
        <w:numId w:val="1"/>
      </w:numPr>
      <w:spacing w:before="0" w:after="360"/>
      <w:jc w:val="both"/>
      <w:outlineLvl w:val="0"/>
    </w:pPr>
    <w:rPr>
      <w:b/>
      <w:bCs/>
      <w:caps/>
    </w:rPr>
  </w:style>
  <w:style w:type="paragraph" w:styleId="Style24" w:customStyle="1">
    <w:name w:val="[РГ] Подраздел"/>
    <w:basedOn w:val="Normal"/>
    <w:next w:val="Style25"/>
    <w:qFormat/>
    <w:rsid w:val="00891546"/>
    <w:pPr>
      <w:keepNext w:val="true"/>
      <w:numPr>
        <w:ilvl w:val="1"/>
        <w:numId w:val="1"/>
      </w:numPr>
      <w:spacing w:before="360" w:after="0"/>
      <w:jc w:val="both"/>
      <w:outlineLvl w:val="1"/>
    </w:pPr>
    <w:rPr>
      <w:b/>
      <w:bCs/>
    </w:rPr>
  </w:style>
  <w:style w:type="paragraph" w:styleId="Style25" w:customStyle="1">
    <w:name w:val="[РГ] Пункт"/>
    <w:basedOn w:val="Normal"/>
    <w:qFormat/>
    <w:rsid w:val="00891546"/>
    <w:pPr>
      <w:numPr>
        <w:ilvl w:val="2"/>
        <w:numId w:val="1"/>
      </w:numPr>
      <w:jc w:val="both"/>
      <w:outlineLvl w:val="2"/>
    </w:pPr>
    <w:rPr/>
  </w:style>
  <w:style w:type="paragraph" w:styleId="Style26" w:customStyle="1">
    <w:name w:val="[РГ] Подпункт"/>
    <w:basedOn w:val="Normal"/>
    <w:qFormat/>
    <w:rsid w:val="00891546"/>
    <w:pPr>
      <w:numPr>
        <w:ilvl w:val="3"/>
        <w:numId w:val="1"/>
      </w:numPr>
      <w:jc w:val="both"/>
      <w:outlineLvl w:val="3"/>
    </w:pPr>
    <w:rPr/>
  </w:style>
  <w:style w:type="paragraph" w:styleId="Style27" w:customStyle="1">
    <w:name w:val="[РГ] Перечисление"/>
    <w:basedOn w:val="Normal"/>
    <w:qFormat/>
    <w:rsid w:val="00891546"/>
    <w:pPr>
      <w:numPr>
        <w:ilvl w:val="4"/>
        <w:numId w:val="1"/>
      </w:numPr>
      <w:jc w:val="both"/>
      <w:outlineLvl w:val="4"/>
    </w:pPr>
    <w:rPr/>
  </w:style>
  <w:style w:type="paragraph" w:styleId="Style28" w:customStyle="1">
    <w:name w:val="[РГ] Заголовок"/>
    <w:basedOn w:val="Normal"/>
    <w:next w:val="Style29"/>
    <w:qFormat/>
    <w:rsid w:val="00f87384"/>
    <w:pPr>
      <w:keepNext w:val="true"/>
      <w:pageBreakBefore/>
      <w:spacing w:before="0" w:after="360"/>
      <w:jc w:val="both"/>
    </w:pPr>
    <w:rPr>
      <w:b/>
      <w:bCs/>
      <w:caps/>
    </w:rPr>
  </w:style>
  <w:style w:type="paragraph" w:styleId="Style29" w:customStyle="1">
    <w:name w:val="[РГ] Текст"/>
    <w:basedOn w:val="Normal"/>
    <w:qFormat/>
    <w:rsid w:val="00891546"/>
    <w:pPr>
      <w:jc w:val="both"/>
    </w:pPr>
    <w:rPr/>
  </w:style>
  <w:style w:type="paragraph" w:styleId="Style30">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nhideWhenUsed/>
    <w:rsid w:val="006608d1"/>
    <w:pPr>
      <w:spacing w:before="0" w:after="0"/>
    </w:pPr>
    <w:rPr>
      <w:sz w:val="20"/>
      <w:szCs w:val="20"/>
    </w:rPr>
  </w:style>
  <w:style w:type="paragraph" w:styleId="Style31"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2" w:customStyle="1">
    <w:name w:val="[РГ] Альтернатива / Дополнение"/>
    <w:basedOn w:val="Style29"/>
    <w:next w:val="Style29"/>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Standard" w:customStyle="1">
    <w:name w:val="Standard"/>
    <w:qFormat/>
    <w:rsid w:val="00734e85"/>
    <w:pPr>
      <w:widowControl/>
      <w:suppressAutoHyphens w:val="true"/>
      <w:bidi w:val="0"/>
      <w:spacing w:before="120" w:after="0"/>
      <w:jc w:val="left"/>
      <w:textAlignment w:val="baseline"/>
    </w:pPr>
    <w:rPr>
      <w:rFonts w:ascii="Times New Roman" w:hAnsi="Times New Roman" w:eastAsia="Calibri" w:cs="Tahoma" w:eastAsiaTheme="minorHAnsi"/>
      <w:color w:val="auto"/>
      <w:kern w:val="0"/>
      <w:sz w:val="26"/>
      <w:szCs w:val="22"/>
      <w:lang w:val="ru-RU" w:eastAsia="en-US" w:bidi="ar-SA"/>
    </w:rPr>
  </w:style>
  <w:style w:type="paragraph" w:styleId="31" w:customStyle="1">
    <w:name w:val="УРОВЕНЬ_Абзац_тип3"/>
    <w:basedOn w:val="ListParagraph"/>
    <w:link w:val="3"/>
    <w:qFormat/>
    <w:rsid w:val="009421d0"/>
    <w:pPr>
      <w:tabs>
        <w:tab w:val="clear" w:pos="708"/>
        <w:tab w:val="left" w:pos="5400" w:leader="none"/>
      </w:tabs>
      <w:spacing w:lineRule="exact" w:line="360" w:before="120" w:after="0"/>
      <w:ind w:left="0" w:hanging="0"/>
      <w:contextualSpacing w:val="false"/>
      <w:jc w:val="both"/>
    </w:pPr>
    <w:rPr>
      <w:rFonts w:eastAsia="Times New Roman" w:cs="Times New Roman"/>
      <w:color w:val="000000" w:themeColor="text1"/>
      <w:szCs w:val="28"/>
    </w:rPr>
  </w:style>
  <w:style w:type="paragraph" w:styleId="Style33">
    <w:name w:val="Содержимое таблицы"/>
    <w:basedOn w:val="Normal"/>
    <w:qFormat/>
    <w:pPr>
      <w:widowControl w:val="false"/>
      <w:suppressLineNumbers/>
    </w:pPr>
    <w:rPr/>
  </w:style>
  <w:style w:type="paragraph" w:styleId="Style34">
    <w:name w:val="Заголовок таблицы"/>
    <w:basedOn w:val="Style33"/>
    <w:qFormat/>
    <w:pPr>
      <w:suppressLineNumbers/>
      <w:jc w:val="center"/>
    </w:pPr>
    <w:rPr>
      <w:b/>
      <w:bCs/>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4">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5">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yperlink" Target="https://lot-online.ru/" TargetMode="External"/><Relationship Id="rId4" Type="http://schemas.openxmlformats.org/officeDocument/2006/relationships/hyperlink" Target="https://tender.lot-online.ru/app/EtpDocList/page" TargetMode="External"/><Relationship Id="rId5" Type="http://schemas.openxmlformats.org/officeDocument/2006/relationships/header" Target="head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package" Target="embeddings/oleObject1.docx"/><Relationship Id="rId13" Type="http://schemas.openxmlformats.org/officeDocument/2006/relationships/image" Target="media/image1.wmf"/><Relationship Id="rId14" Type="http://schemas.openxmlformats.org/officeDocument/2006/relationships/header" Target="header4.xml"/><Relationship Id="rId15" Type="http://schemas.openxmlformats.org/officeDocument/2006/relationships/header" Target="header5.xml"/><Relationship Id="rId16" Type="http://schemas.openxmlformats.org/officeDocument/2006/relationships/footer" Target="footer6.xml"/><Relationship Id="rId17" Type="http://schemas.openxmlformats.org/officeDocument/2006/relationships/footer" Target="footer7.xml"/><Relationship Id="rId18" Type="http://schemas.openxmlformats.org/officeDocument/2006/relationships/header" Target="header6.xml"/><Relationship Id="rId19" Type="http://schemas.openxmlformats.org/officeDocument/2006/relationships/header" Target="header7.xml"/><Relationship Id="rId20" Type="http://schemas.openxmlformats.org/officeDocument/2006/relationships/footer" Target="footer8.xml"/><Relationship Id="rId21" Type="http://schemas.openxmlformats.org/officeDocument/2006/relationships/footer" Target="footer9.xml"/><Relationship Id="rId22" Type="http://schemas.openxmlformats.org/officeDocument/2006/relationships/package" Target="embeddings/oleObject2.docx"/><Relationship Id="rId23" Type="http://schemas.openxmlformats.org/officeDocument/2006/relationships/image" Target="media/image2.wmf"/><Relationship Id="rId24" Type="http://schemas.openxmlformats.org/officeDocument/2006/relationships/package" Target="embeddings/oleObject3.docx"/><Relationship Id="rId25" Type="http://schemas.openxmlformats.org/officeDocument/2006/relationships/image" Target="media/image3.wmf"/><Relationship Id="rId26" Type="http://schemas.openxmlformats.org/officeDocument/2006/relationships/header" Target="header8.xml"/><Relationship Id="rId27" Type="http://schemas.openxmlformats.org/officeDocument/2006/relationships/header" Target="header9.xml"/><Relationship Id="rId28" Type="http://schemas.openxmlformats.org/officeDocument/2006/relationships/footer" Target="footer10.xml"/><Relationship Id="rId29" Type="http://schemas.openxmlformats.org/officeDocument/2006/relationships/footer" Target="footer11.xml"/><Relationship Id="rId30" Type="http://schemas.openxmlformats.org/officeDocument/2006/relationships/header" Target="header10.xml"/><Relationship Id="rId31" Type="http://schemas.openxmlformats.org/officeDocument/2006/relationships/header" Target="header11.xml"/><Relationship Id="rId32" Type="http://schemas.openxmlformats.org/officeDocument/2006/relationships/footer" Target="footer12.xml"/><Relationship Id="rId33" Type="http://schemas.openxmlformats.org/officeDocument/2006/relationships/footer" Target="footer13.xml"/><Relationship Id="rId34" Type="http://schemas.openxmlformats.org/officeDocument/2006/relationships/hyperlink" Target="https://bo.nalog.ru/" TargetMode="External"/><Relationship Id="rId35" Type="http://schemas.openxmlformats.org/officeDocument/2006/relationships/header" Target="header12.xml"/><Relationship Id="rId36" Type="http://schemas.openxmlformats.org/officeDocument/2006/relationships/header" Target="header13.xml"/><Relationship Id="rId37" Type="http://schemas.openxmlformats.org/officeDocument/2006/relationships/footer" Target="footer14.xml"/><Relationship Id="rId38" Type="http://schemas.openxmlformats.org/officeDocument/2006/relationships/footer" Target="footer15.xml"/><Relationship Id="rId39" Type="http://schemas.openxmlformats.org/officeDocument/2006/relationships/package" Target="embeddings/oleObject4.xlsx"/><Relationship Id="rId40" Type="http://schemas.openxmlformats.org/officeDocument/2006/relationships/image" Target="media/image4.wmf"/><Relationship Id="rId41" Type="http://schemas.openxmlformats.org/officeDocument/2006/relationships/header" Target="header14.xml"/><Relationship Id="rId42" Type="http://schemas.openxmlformats.org/officeDocument/2006/relationships/header" Target="header15.xml"/><Relationship Id="rId43" Type="http://schemas.openxmlformats.org/officeDocument/2006/relationships/footer" Target="footer16.xml"/><Relationship Id="rId44" Type="http://schemas.openxmlformats.org/officeDocument/2006/relationships/footer" Target="footer17.xml"/><Relationship Id="rId45" Type="http://schemas.openxmlformats.org/officeDocument/2006/relationships/footnotes" Target="footnotes.xml"/><Relationship Id="rId46" Type="http://schemas.openxmlformats.org/officeDocument/2006/relationships/numbering" Target="numbering.xml"/><Relationship Id="rId47" Type="http://schemas.openxmlformats.org/officeDocument/2006/relationships/fontTable" Target="fontTable.xml"/><Relationship Id="rId48" Type="http://schemas.openxmlformats.org/officeDocument/2006/relationships/settings" Target="settings.xml"/><Relationship Id="rId49" Type="http://schemas.openxmlformats.org/officeDocument/2006/relationships/theme" Target="theme/theme1.xml"/><Relationship Id="rId5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A3385-E805-416A-9629-F2F4ACE7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Application>AlterOffice/3.4.0.9$Linux_X86_64 LibreOffice_project/b8daf9e823b1a5463a2f48435ddc2e8696e7d4fc</Application>
  <AppVersion>15.0000</AppVersion>
  <Pages>78</Pages>
  <Words>18718</Words>
  <Characters>130169</Characters>
  <CharactersWithSpaces>147071</CharactersWithSpaces>
  <Paragraphs>1120</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2025-12-02T12:08:00Z</dcterms:created>
  <dc:creator>Владимир Щербаков</dc:creator>
  <dc:description/>
  <cp:keywords>Типовая форма</cp:keywords>
  <dc:language>ru-RU</dc:language>
  <cp:lastModifiedBy>demurovavv@corp.gidroogk.com</cp:lastModifiedBy>
  <dcterms:modified xsi:type="dcterms:W3CDTF">2026-05-27T08:51:11Z</dcterms:modified>
  <cp:revision>8</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